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after="0"/>
        <w:ind w:firstLine="0"/>
        <w:rPr>
          <w:rFonts w:ascii="宋体" w:hAnsi="宋体"/>
        </w:rPr>
      </w:pPr>
    </w:p>
    <w:p>
      <w:pPr>
        <w:pStyle w:val="11"/>
        <w:ind w:firstLine="0"/>
        <w:jc w:val="center"/>
        <w:rPr>
          <w:rFonts w:eastAsia="黑体"/>
          <w:b/>
          <w:bCs/>
          <w:sz w:val="84"/>
        </w:rPr>
      </w:pPr>
    </w:p>
    <w:p>
      <w:pPr>
        <w:pStyle w:val="11"/>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11"/>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jc w:val="center"/>
        <w:rPr>
          <w:rFonts w:ascii="宋体" w:hAnsi="宋体"/>
          <w:b/>
          <w:sz w:val="32"/>
          <w:szCs w:val="32"/>
          <w:u w:val="single"/>
        </w:rPr>
      </w:pPr>
      <w:r>
        <w:rPr>
          <w:rFonts w:hint="eastAsia" w:ascii="宋体" w:hAnsi="宋体"/>
          <w:b/>
          <w:sz w:val="36"/>
        </w:rPr>
        <w:t>项目名称：</w:t>
      </w:r>
      <w:r>
        <w:rPr>
          <w:rFonts w:hint="eastAsia" w:ascii="宋体" w:hAnsi="宋体"/>
          <w:b/>
          <w:kern w:val="0"/>
          <w:sz w:val="32"/>
          <w:szCs w:val="32"/>
          <w:u w:val="single"/>
        </w:rPr>
        <w:t>江苏开放大学</w:t>
      </w:r>
      <w:r>
        <w:rPr>
          <w:rFonts w:hint="eastAsia" w:ascii="ˎ̥" w:hAnsi="ˎ̥" w:cs="宋体"/>
          <w:b/>
          <w:bCs/>
          <w:kern w:val="0"/>
          <w:sz w:val="32"/>
          <w:szCs w:val="32"/>
          <w:u w:val="single"/>
        </w:rPr>
        <w:t>实验室定制桌椅</w:t>
      </w:r>
    </w:p>
    <w:p>
      <w:pPr>
        <w:spacing w:line="360" w:lineRule="auto"/>
        <w:ind w:firstLine="1084" w:firstLineChars="300"/>
        <w:rPr>
          <w:b/>
        </w:rPr>
      </w:pPr>
      <w:r>
        <w:rPr>
          <w:rFonts w:hint="eastAsia" w:ascii="宋体" w:hAnsi="宋体"/>
          <w:b/>
          <w:sz w:val="36"/>
        </w:rPr>
        <w:t>项目编号：</w:t>
      </w:r>
      <w:r>
        <w:rPr>
          <w:rFonts w:hint="eastAsia"/>
          <w:b/>
          <w:sz w:val="32"/>
          <w:szCs w:val="32"/>
          <w:u w:val="single"/>
        </w:rPr>
        <w:t xml:space="preserve">    </w:t>
      </w:r>
      <w:r>
        <w:rPr>
          <w:b/>
          <w:sz w:val="32"/>
          <w:szCs w:val="32"/>
          <w:u w:val="single"/>
        </w:rPr>
        <w:t>2017-Z</w:t>
      </w:r>
      <w:r>
        <w:rPr>
          <w:rFonts w:hint="eastAsia"/>
          <w:b/>
          <w:sz w:val="32"/>
          <w:szCs w:val="32"/>
          <w:u w:val="single"/>
        </w:rPr>
        <w:t>B</w:t>
      </w:r>
      <w:r>
        <w:rPr>
          <w:b/>
          <w:sz w:val="32"/>
          <w:szCs w:val="32"/>
          <w:u w:val="single"/>
        </w:rPr>
        <w:t>-XC029</w:t>
      </w:r>
      <w:r>
        <w:rPr>
          <w:rFonts w:hint="eastAsia"/>
          <w:b/>
          <w:sz w:val="32"/>
          <w:szCs w:val="32"/>
          <w:u w:val="single"/>
        </w:rPr>
        <w:t xml:space="preserve">         </w:t>
      </w:r>
    </w:p>
    <w:p>
      <w:pPr>
        <w:pStyle w:val="11"/>
        <w:spacing w:before="0" w:after="0"/>
        <w:ind w:firstLine="0"/>
        <w:jc w:val="center"/>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spacing w:before="0" w:after="0"/>
        <w:ind w:firstLine="0"/>
        <w:rPr>
          <w:rFonts w:ascii="宋体" w:hAnsi="宋体"/>
        </w:rPr>
      </w:pPr>
    </w:p>
    <w:p>
      <w:pPr>
        <w:pStyle w:val="11"/>
        <w:ind w:firstLine="0"/>
        <w:jc w:val="center"/>
        <w:rPr>
          <w:b/>
          <w:bCs/>
          <w:sz w:val="32"/>
        </w:rPr>
      </w:pPr>
      <w:r>
        <w:rPr>
          <w:rFonts w:hint="eastAsia"/>
          <w:b/>
          <w:bCs/>
          <w:sz w:val="32"/>
        </w:rPr>
        <w:t>江苏开放大学</w:t>
      </w:r>
    </w:p>
    <w:p>
      <w:pPr>
        <w:widowControl/>
        <w:spacing w:line="360" w:lineRule="atLeast"/>
        <w:rPr>
          <w:b/>
          <w:bCs/>
          <w:sz w:val="32"/>
        </w:rPr>
      </w:pPr>
    </w:p>
    <w:p>
      <w:pPr>
        <w:widowControl/>
        <w:spacing w:line="360" w:lineRule="atLeast"/>
        <w:rPr>
          <w:b/>
          <w:bCs/>
          <w:sz w:val="32"/>
        </w:rPr>
      </w:pPr>
    </w:p>
    <w:p>
      <w:pPr>
        <w:widowControl/>
        <w:spacing w:line="360" w:lineRule="atLeast"/>
        <w:rPr>
          <w:b/>
          <w:bCs/>
          <w:sz w:val="32"/>
        </w:rPr>
      </w:pPr>
    </w:p>
    <w:p>
      <w:pPr>
        <w:widowControl/>
        <w:spacing w:line="360" w:lineRule="atLeast"/>
        <w:rPr>
          <w:rFonts w:ascii="ˎ̥" w:hAnsi="ˎ̥" w:cs="宋体"/>
          <w:b/>
          <w:bCs/>
          <w:kern w:val="0"/>
          <w:sz w:val="36"/>
          <w:szCs w:val="36"/>
        </w:rPr>
      </w:pP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特别提示：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1.请投标人认真阅读招标文件，严格按照招标文件要求制作投标文件，如对招标文件内容和要求有疑问，请电话咨询或书面质疑，以避免投标无效；</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2.招标公告与招标文件不一致的条款以招标文件为准;</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82" w:firstLineChars="200"/>
        <w:rPr>
          <w:b/>
          <w:sz w:val="24"/>
        </w:rPr>
      </w:pPr>
      <w:r>
        <w:rPr>
          <w:b/>
          <w:sz w:val="24"/>
        </w:rPr>
        <w:t>一</w:t>
      </w:r>
      <w:r>
        <w:rPr>
          <w:rFonts w:hint="eastAsia"/>
          <w:b/>
          <w:sz w:val="24"/>
        </w:rPr>
        <w:t>、投标项目基本情况：</w:t>
      </w:r>
    </w:p>
    <w:p>
      <w:pPr>
        <w:spacing w:line="360" w:lineRule="auto"/>
        <w:rPr>
          <w:sz w:val="24"/>
        </w:rPr>
      </w:pPr>
      <w:r>
        <w:rPr>
          <w:rFonts w:hint="eastAsia"/>
          <w:sz w:val="24"/>
        </w:rPr>
        <w:t xml:space="preserve">    </w:t>
      </w:r>
      <w:r>
        <w:rPr>
          <w:sz w:val="24"/>
        </w:rPr>
        <w:t>本项目预算：</w:t>
      </w:r>
      <w:r>
        <w:rPr>
          <w:rFonts w:hint="eastAsia"/>
          <w:sz w:val="24"/>
        </w:rPr>
        <w:t>12万。</w:t>
      </w:r>
    </w:p>
    <w:p>
      <w:pPr>
        <w:spacing w:line="360" w:lineRule="auto"/>
        <w:ind w:firstLine="482" w:firstLineChars="200"/>
        <w:rPr>
          <w:b/>
          <w:sz w:val="24"/>
        </w:rPr>
      </w:pPr>
      <w:r>
        <w:rPr>
          <w:rFonts w:hint="eastAsia"/>
          <w:b/>
          <w:sz w:val="24"/>
        </w:rPr>
        <w:t>二、投标人资质要求：</w:t>
      </w:r>
    </w:p>
    <w:p>
      <w:pPr>
        <w:spacing w:line="360" w:lineRule="auto"/>
        <w:ind w:firstLine="480" w:firstLineChars="200"/>
        <w:rPr>
          <w:sz w:val="24"/>
        </w:rPr>
      </w:pPr>
      <w:r>
        <w:rPr>
          <w:rFonts w:hint="eastAsia"/>
          <w:sz w:val="24"/>
        </w:rPr>
        <w:t>（一）参加本次采购活动应当符合《中华人民共和国政府采购法》第二十二条的规定，并具备下列条件：</w:t>
      </w:r>
    </w:p>
    <w:p>
      <w:pPr>
        <w:spacing w:line="360" w:lineRule="auto"/>
        <w:ind w:firstLine="480" w:firstLineChars="200"/>
        <w:rPr>
          <w:sz w:val="24"/>
        </w:rPr>
      </w:pPr>
      <w:r>
        <w:rPr>
          <w:rFonts w:hint="eastAsia"/>
          <w:sz w:val="24"/>
        </w:rPr>
        <w:t>（1）具有独立承担民事责任的能力（请提供法人或者其他组织的营业执照等证明文件，自然人的身份证明）；</w:t>
      </w:r>
    </w:p>
    <w:p>
      <w:pPr>
        <w:spacing w:line="360" w:lineRule="auto"/>
        <w:ind w:firstLine="480" w:firstLineChars="200"/>
        <w:rPr>
          <w:sz w:val="24"/>
        </w:rPr>
      </w:pPr>
      <w:r>
        <w:rPr>
          <w:rFonts w:hint="eastAsia"/>
          <w:sz w:val="24"/>
        </w:rPr>
        <w:t>（2）具有良好的商业信誉和健全的财务会计制度（请提供财务状况报告）；</w:t>
      </w:r>
    </w:p>
    <w:p>
      <w:pPr>
        <w:spacing w:line="360" w:lineRule="auto"/>
        <w:ind w:firstLine="480" w:firstLineChars="200"/>
        <w:rPr>
          <w:sz w:val="24"/>
        </w:rPr>
      </w:pPr>
      <w:r>
        <w:rPr>
          <w:rFonts w:hint="eastAsia"/>
          <w:sz w:val="24"/>
        </w:rPr>
        <w:t>（3）具有履行合同所必需的设备和专业技术能力（请提供具备履行合同所必需的设备和专业技术能力的证明材料）；</w:t>
      </w:r>
    </w:p>
    <w:p>
      <w:pPr>
        <w:spacing w:line="360" w:lineRule="auto"/>
        <w:ind w:firstLine="480" w:firstLineChars="200"/>
        <w:rPr>
          <w:sz w:val="24"/>
        </w:rPr>
      </w:pPr>
      <w:r>
        <w:rPr>
          <w:rFonts w:hint="eastAsia"/>
          <w:sz w:val="24"/>
        </w:rPr>
        <w:t>（4）有依法缴纳税收和社会保障资金的良好记录（请提供依法缴纳税收和社会保障资金的相关材料)；</w:t>
      </w:r>
    </w:p>
    <w:p>
      <w:pPr>
        <w:spacing w:line="360" w:lineRule="auto"/>
        <w:ind w:firstLine="480" w:firstLineChars="200"/>
        <w:rPr>
          <w:sz w:val="24"/>
        </w:rPr>
      </w:pPr>
      <w:r>
        <w:rPr>
          <w:rFonts w:hint="eastAsia"/>
          <w:sz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rPr>
      </w:pPr>
      <w:r>
        <w:rPr>
          <w:rFonts w:hint="eastAsia"/>
          <w:sz w:val="24"/>
        </w:rPr>
        <w:t>（6）法</w:t>
      </w:r>
      <w:r>
        <w:rPr>
          <w:sz w:val="24"/>
        </w:rPr>
        <w:t>律、行政法规规定的其他条件</w:t>
      </w:r>
    </w:p>
    <w:p>
      <w:pPr>
        <w:spacing w:line="360" w:lineRule="auto"/>
        <w:ind w:firstLine="480" w:firstLineChars="200"/>
        <w:rPr>
          <w:sz w:val="24"/>
        </w:rPr>
      </w:pPr>
      <w:r>
        <w:rPr>
          <w:rFonts w:hint="eastAsia"/>
          <w:sz w:val="24"/>
        </w:rPr>
        <w:t>（二）采购人根据采购项目的特殊要求规定的特定条件：无。</w:t>
      </w:r>
    </w:p>
    <w:p>
      <w:pPr>
        <w:spacing w:line="360" w:lineRule="auto"/>
        <w:ind w:firstLine="480" w:firstLineChars="200"/>
        <w:rPr>
          <w:sz w:val="24"/>
        </w:rPr>
      </w:pPr>
      <w:r>
        <w:rPr>
          <w:rFonts w:hint="eastAsia"/>
          <w:sz w:val="24"/>
        </w:rPr>
        <w:t>（三）本项目不接受联合体响应。</w:t>
      </w:r>
    </w:p>
    <w:p>
      <w:pPr>
        <w:spacing w:line="360" w:lineRule="auto"/>
        <w:ind w:firstLine="482" w:firstLineChars="200"/>
        <w:rPr>
          <w:b/>
          <w:sz w:val="24"/>
        </w:rPr>
      </w:pPr>
      <w:r>
        <w:rPr>
          <w:b/>
          <w:sz w:val="24"/>
        </w:rPr>
        <w:t>三、报价及付款条件</w:t>
      </w:r>
    </w:p>
    <w:p>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（一）投标报价为一次性报价方式，包括产品本身价格、安装费、运输费、验收费、技术服务费（包括技术资料、图纸提供等）、伴随服务及因产品本身及供货相关的各种税金等全部费用。</w:t>
      </w:r>
    </w:p>
    <w:p>
      <w:pPr>
        <w:spacing w:line="360" w:lineRule="auto"/>
        <w:rPr>
          <w:sz w:val="24"/>
        </w:rPr>
      </w:pPr>
      <w:r>
        <w:rPr>
          <w:rFonts w:hint="eastAsia"/>
          <w:sz w:val="24"/>
        </w:rPr>
        <w:t xml:space="preserve">    </w:t>
      </w:r>
      <w:r>
        <w:rPr>
          <w:sz w:val="24"/>
        </w:rPr>
        <w:t>（二）学校不提供预付款，所有货物全部到货，且验收合格后付款。</w:t>
      </w:r>
    </w:p>
    <w:p>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四、免费质保期</w:t>
      </w:r>
      <w:r>
        <w:rPr>
          <w:rFonts w:hint="eastAsia" w:asciiTheme="minorEastAsia" w:hAnsiTheme="minorEastAsia" w:eastAsiaTheme="minorEastAsia"/>
          <w:b/>
          <w:sz w:val="24"/>
        </w:rPr>
        <w:t>、</w:t>
      </w:r>
      <w:r>
        <w:rPr>
          <w:rFonts w:asciiTheme="minorEastAsia" w:hAnsiTheme="minorEastAsia" w:eastAsiaTheme="minorEastAsia"/>
          <w:b/>
          <w:sz w:val="24"/>
        </w:rPr>
        <w:t>供货期及样品要求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所有</w:t>
      </w:r>
      <w:r>
        <w:rPr>
          <w:rFonts w:hint="eastAsia" w:asciiTheme="minorEastAsia" w:hAnsiTheme="minorEastAsia" w:eastAsiaTheme="minorEastAsia"/>
          <w:sz w:val="24"/>
        </w:rPr>
        <w:t>家具设备</w:t>
      </w:r>
      <w:r>
        <w:rPr>
          <w:rFonts w:asciiTheme="minorEastAsia" w:hAnsiTheme="minorEastAsia" w:eastAsiaTheme="minorEastAsia"/>
          <w:sz w:val="24"/>
        </w:rPr>
        <w:t>提供不低于</w:t>
      </w:r>
      <w:r>
        <w:rPr>
          <w:rFonts w:hint="eastAsia" w:asciiTheme="minorEastAsia" w:hAnsiTheme="minorEastAsia" w:eastAsiaTheme="minorEastAsia"/>
          <w:sz w:val="24"/>
        </w:rPr>
        <w:t>五</w:t>
      </w:r>
      <w:r>
        <w:rPr>
          <w:rFonts w:asciiTheme="minorEastAsia" w:hAnsiTheme="minorEastAsia" w:eastAsiaTheme="minorEastAsia"/>
          <w:sz w:val="24"/>
        </w:rPr>
        <w:t>年的原厂免费质保；24小时响应时间服务；</w:t>
      </w:r>
      <w:r>
        <w:rPr>
          <w:rFonts w:hint="eastAsia" w:asciiTheme="minorEastAsia" w:hAnsiTheme="minorEastAsia" w:eastAsiaTheme="minorEastAsia"/>
          <w:sz w:val="24"/>
        </w:rPr>
        <w:t>家具</w:t>
      </w:r>
      <w:r>
        <w:rPr>
          <w:rFonts w:asciiTheme="minorEastAsia" w:hAnsiTheme="minorEastAsia" w:eastAsiaTheme="minorEastAsia"/>
          <w:sz w:val="24"/>
        </w:rPr>
        <w:t>出现故障，12小时内完成修复，否则提供同等型号的备品，供校方无偿使用。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供货期限：签订合同后</w:t>
      </w:r>
      <w:r>
        <w:rPr>
          <w:rFonts w:hint="eastAsia" w:asciiTheme="minorEastAsia" w:hAnsiTheme="minorEastAsia" w:eastAsiaTheme="minorEastAsia"/>
          <w:sz w:val="24"/>
        </w:rPr>
        <w:t>15</w:t>
      </w:r>
      <w:r>
        <w:rPr>
          <w:rFonts w:asciiTheme="minorEastAsia" w:hAnsiTheme="minorEastAsia" w:eastAsiaTheme="minorEastAsia"/>
          <w:sz w:val="24"/>
        </w:rPr>
        <w:t>天将所有</w:t>
      </w:r>
      <w:r>
        <w:rPr>
          <w:rFonts w:hint="eastAsia" w:asciiTheme="minorEastAsia" w:hAnsiTheme="minorEastAsia" w:eastAsiaTheme="minorEastAsia"/>
          <w:sz w:val="24"/>
        </w:rPr>
        <w:t>家具</w:t>
      </w:r>
      <w:r>
        <w:rPr>
          <w:rFonts w:asciiTheme="minorEastAsia" w:hAnsiTheme="minorEastAsia" w:eastAsiaTheme="minorEastAsia"/>
          <w:sz w:val="24"/>
        </w:rPr>
        <w:t>运送至指定</w:t>
      </w:r>
      <w:r>
        <w:rPr>
          <w:rFonts w:hint="eastAsia" w:asciiTheme="minorEastAsia" w:hAnsiTheme="minorEastAsia" w:eastAsiaTheme="minorEastAsia"/>
          <w:sz w:val="24"/>
        </w:rPr>
        <w:t>地点</w:t>
      </w:r>
      <w:r>
        <w:rPr>
          <w:rFonts w:asciiTheme="minorEastAsia" w:hAnsiTheme="minorEastAsia" w:eastAsiaTheme="minorEastAsia"/>
          <w:sz w:val="24"/>
        </w:rPr>
        <w:t>并完成全部组装调式工作。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宋体" w:hAnsi="Arial" w:cs="宋体"/>
          <w:color w:val="000000"/>
          <w:kern w:val="0"/>
          <w:szCs w:val="21"/>
          <w:lang w:val="zh-CN"/>
        </w:rPr>
        <w:t>供应商需</w:t>
      </w:r>
      <w:r>
        <w:rPr>
          <w:rFonts w:hint="eastAsia" w:asciiTheme="minorEastAsia" w:hAnsiTheme="minorEastAsia" w:eastAsiaTheme="minorEastAsia"/>
          <w:sz w:val="24"/>
        </w:rPr>
        <w:t>提供实验桌1和方凳各一套</w:t>
      </w:r>
      <w:r>
        <w:rPr>
          <w:rFonts w:hint="eastAsia" w:ascii="宋体" w:hAnsi="Arial" w:cs="宋体"/>
          <w:color w:val="000000"/>
          <w:kern w:val="0"/>
          <w:szCs w:val="21"/>
          <w:lang w:val="zh-CN"/>
        </w:rPr>
        <w:t>，作为样品。样品作为交付的依据保存在校方，并可以作为交付的货物之一。</w:t>
      </w:r>
      <w:r>
        <w:rPr>
          <w:rFonts w:asciiTheme="minorEastAsia" w:hAnsiTheme="minorEastAsia" w:eastAsiaTheme="minorEastAsia"/>
          <w:sz w:val="24"/>
        </w:rPr>
        <w:t>样品</w:t>
      </w:r>
      <w:r>
        <w:rPr>
          <w:rFonts w:hint="eastAsia" w:asciiTheme="minorEastAsia" w:hAnsiTheme="minorEastAsia" w:eastAsiaTheme="minorEastAsia"/>
          <w:sz w:val="24"/>
        </w:rPr>
        <w:t>应</w:t>
      </w:r>
      <w:r>
        <w:rPr>
          <w:rFonts w:asciiTheme="minorEastAsia" w:hAnsiTheme="minorEastAsia" w:eastAsiaTheme="minorEastAsia"/>
          <w:sz w:val="24"/>
        </w:rPr>
        <w:t>在递交投标文件</w:t>
      </w:r>
      <w:r>
        <w:rPr>
          <w:rFonts w:hint="eastAsia" w:asciiTheme="minorEastAsia" w:hAnsiTheme="minorEastAsia" w:eastAsiaTheme="minorEastAsia"/>
          <w:sz w:val="24"/>
        </w:rPr>
        <w:t>的当天上午9:00送到本校指定的地点安装、调试完整无误。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送样地址：南京市鼓楼区江东北路399号（江东北路与定淮门大街交叉口西南角）二楼 第二会议室室；</w:t>
      </w:r>
    </w:p>
    <w:p>
      <w:pPr>
        <w:spacing w:line="360" w:lineRule="auto"/>
        <w:rPr>
          <w:b/>
          <w:sz w:val="24"/>
        </w:rPr>
      </w:pPr>
      <w:r>
        <w:rPr>
          <w:rFonts w:hint="eastAsia"/>
          <w:b/>
          <w:sz w:val="24"/>
        </w:rPr>
        <w:t>五、评标方式：</w:t>
      </w:r>
      <w:r>
        <w:rPr>
          <w:b/>
          <w:sz w:val="24"/>
        </w:rPr>
        <w:t xml:space="preserve"> </w:t>
      </w:r>
    </w:p>
    <w:p>
      <w:pPr>
        <w:spacing w:line="360" w:lineRule="auto"/>
        <w:ind w:firstLine="480" w:firstLineChars="200"/>
        <w:rPr>
          <w:sz w:val="24"/>
        </w:rPr>
      </w:pPr>
      <w:r>
        <w:rPr>
          <w:rFonts w:hint="eastAsia"/>
          <w:sz w:val="24"/>
        </w:rPr>
        <w:t>评标工作小组在对投标人所投产品的配置、品牌、技术功能、报价与售后服务以及公司业绩、信用等进行综合评分，得分最高者中标。对未中标人，将不作任何解释，标书不退回。</w:t>
      </w:r>
    </w:p>
    <w:tbl>
      <w:tblPr>
        <w:tblStyle w:val="8"/>
        <w:tblW w:w="9412" w:type="dxa"/>
        <w:jc w:val="center"/>
        <w:tblInd w:w="0" w:type="dxa"/>
        <w:tblLayout w:type="fixed"/>
        <w:tblCellMar>
          <w:top w:w="0" w:type="dxa"/>
          <w:left w:w="108" w:type="dxa"/>
          <w:bottom w:w="0" w:type="dxa"/>
          <w:right w:w="108" w:type="dxa"/>
        </w:tblCellMar>
      </w:tblPr>
      <w:tblGrid>
        <w:gridCol w:w="573"/>
        <w:gridCol w:w="1192"/>
        <w:gridCol w:w="6886"/>
        <w:gridCol w:w="761"/>
      </w:tblGrid>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b/>
                <w:bCs/>
                <w:color w:val="000000"/>
                <w:kern w:val="0"/>
                <w:szCs w:val="21"/>
                <w:lang w:val="zh-CN"/>
              </w:rPr>
              <w:t>序号</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b/>
                <w:bCs/>
                <w:color w:val="000000"/>
                <w:kern w:val="0"/>
                <w:szCs w:val="21"/>
                <w:lang w:val="zh-CN"/>
              </w:rPr>
              <w:t>评分因素</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2951"/>
              <w:jc w:val="left"/>
              <w:rPr>
                <w:rFonts w:ascii="宋体" w:cs="宋体"/>
                <w:kern w:val="0"/>
                <w:sz w:val="22"/>
                <w:szCs w:val="22"/>
                <w:lang w:val="zh-CN"/>
              </w:rPr>
            </w:pPr>
            <w:r>
              <w:rPr>
                <w:rFonts w:hint="eastAsia" w:ascii="宋体" w:cs="宋体"/>
                <w:b/>
                <w:bCs/>
                <w:color w:val="000000"/>
                <w:kern w:val="0"/>
                <w:szCs w:val="21"/>
                <w:lang w:val="zh-CN"/>
              </w:rPr>
              <w:t>评审标准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b/>
                <w:bCs/>
                <w:color w:val="000000"/>
                <w:kern w:val="0"/>
                <w:szCs w:val="21"/>
                <w:lang w:val="zh-CN"/>
              </w:rPr>
              <w:t>分值</w:t>
            </w:r>
          </w:p>
        </w:tc>
      </w:tr>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1</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价格</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color w:val="000000"/>
                <w:kern w:val="0"/>
                <w:szCs w:val="21"/>
                <w:lang w:val="zh-CN"/>
              </w:rPr>
              <w:t>采用低价优先法计算，即满足招标文件要求且投标价格最低的投标报价为评标基准价，其价格分为满分。其他投标人的价格分统一按照下列公式计算：投标报价得分</w:t>
            </w:r>
            <w:r>
              <w:rPr>
                <w:rFonts w:ascii="宋体" w:cs="宋体"/>
                <w:color w:val="000000"/>
                <w:kern w:val="0"/>
                <w:szCs w:val="21"/>
                <w:lang w:val="zh-CN"/>
              </w:rPr>
              <w:t>=(</w:t>
            </w:r>
            <w:r>
              <w:rPr>
                <w:rFonts w:hint="eastAsia" w:ascii="宋体" w:cs="宋体"/>
                <w:color w:val="000000"/>
                <w:kern w:val="0"/>
                <w:szCs w:val="21"/>
                <w:lang w:val="zh-CN"/>
              </w:rPr>
              <w:t>评标基准价</w:t>
            </w:r>
            <w:r>
              <w:rPr>
                <w:rFonts w:ascii="宋体" w:cs="宋体"/>
                <w:color w:val="000000"/>
                <w:kern w:val="0"/>
                <w:szCs w:val="21"/>
                <w:lang w:val="zh-CN"/>
              </w:rPr>
              <w:t>/</w:t>
            </w:r>
            <w:r>
              <w:rPr>
                <w:rFonts w:hint="eastAsia" w:ascii="宋体" w:cs="宋体"/>
                <w:color w:val="000000"/>
                <w:kern w:val="0"/>
                <w:szCs w:val="21"/>
                <w:lang w:val="zh-CN"/>
              </w:rPr>
              <w:t>投标报价</w:t>
            </w:r>
            <w:r>
              <w:rPr>
                <w:rFonts w:ascii="宋体" w:cs="宋体"/>
                <w:color w:val="000000"/>
                <w:kern w:val="0"/>
                <w:szCs w:val="21"/>
                <w:lang w:val="zh-CN"/>
              </w:rPr>
              <w:t>)</w:t>
            </w:r>
            <w:r>
              <w:rPr>
                <w:rFonts w:hint="eastAsia" w:ascii="宋体" w:cs="宋体"/>
                <w:color w:val="000000"/>
                <w:kern w:val="0"/>
                <w:szCs w:val="21"/>
                <w:lang w:val="zh-CN"/>
              </w:rPr>
              <w:t>×4</w:t>
            </w:r>
            <w:r>
              <w:rPr>
                <w:rFonts w:ascii="宋体" w:cs="宋体"/>
                <w:color w:val="000000"/>
                <w:kern w:val="0"/>
                <w:szCs w:val="21"/>
                <w:lang w:val="zh-CN"/>
              </w:rPr>
              <w:t>0</w:t>
            </w:r>
            <w:r>
              <w:rPr>
                <w:rFonts w:hint="eastAsia" w:ascii="宋体" w:cs="宋体"/>
                <w:color w:val="000000"/>
                <w:kern w:val="0"/>
                <w:szCs w:val="21"/>
                <w:lang w:val="zh-CN"/>
              </w:rPr>
              <w:t>（小数点保留两位）。</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4</w:t>
            </w:r>
            <w:r>
              <w:rPr>
                <w:rFonts w:ascii="宋体" w:cs="宋体"/>
                <w:color w:val="000000"/>
                <w:kern w:val="0"/>
                <w:szCs w:val="21"/>
                <w:lang w:val="zh-CN"/>
              </w:rPr>
              <w:t>0</w:t>
            </w:r>
          </w:p>
        </w:tc>
      </w:tr>
      <w:tr>
        <w:tblPrEx>
          <w:tblLayout w:type="fixed"/>
          <w:tblCellMar>
            <w:top w:w="0" w:type="dxa"/>
            <w:left w:w="108" w:type="dxa"/>
            <w:bottom w:w="0" w:type="dxa"/>
            <w:right w:w="108" w:type="dxa"/>
          </w:tblCellMar>
        </w:tblPrEx>
        <w:trPr>
          <w:trHeight w:val="55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2.1</w:t>
            </w:r>
          </w:p>
        </w:tc>
        <w:tc>
          <w:tcPr>
            <w:tcW w:w="11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技术</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GB2312" w:cs="宋体"/>
                <w:kern w:val="0"/>
                <w:sz w:val="22"/>
                <w:szCs w:val="22"/>
                <w:lang w:val="zh-CN"/>
              </w:rPr>
            </w:pPr>
            <w:r>
              <w:rPr>
                <w:rFonts w:hint="eastAsia" w:ascii="宋体" w:hAnsi="宋体"/>
                <w:bCs/>
                <w:sz w:val="24"/>
              </w:rPr>
              <w:t>投标产品对招标文件具体需求的响应程度：基本响应即满足招标文件主要的技术指标、参数要求的得12分，在此基础上有正偏离（需评委会认定有实际意义）的每项加1分，最高不超过3分，有负偏离的每项减2分，负偏离超过5项本2.1项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GB2312" w:cs="宋体"/>
                <w:kern w:val="0"/>
                <w:sz w:val="22"/>
                <w:szCs w:val="22"/>
                <w:lang w:val="zh-CN"/>
              </w:rPr>
            </w:pPr>
            <w:r>
              <w:rPr>
                <w:rFonts w:hint="eastAsia" w:ascii="宋体" w:hAnsi="??GB2312" w:cs="宋体"/>
                <w:color w:val="000000"/>
                <w:kern w:val="0"/>
                <w:szCs w:val="21"/>
                <w:lang w:val="zh-CN"/>
              </w:rPr>
              <w:t>15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GB2312" w:cs="宋体"/>
                <w:kern w:val="0"/>
                <w:sz w:val="22"/>
                <w:szCs w:val="22"/>
                <w:lang w:val="zh-CN"/>
              </w:rPr>
            </w:pPr>
            <w:r>
              <w:rPr>
                <w:rFonts w:ascii="宋体" w:hAnsi="??GB2312" w:cs="宋体"/>
                <w:color w:val="000000"/>
                <w:kern w:val="0"/>
                <w:szCs w:val="21"/>
                <w:lang w:val="zh-CN"/>
              </w:rPr>
              <w:t>2.2</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GB2312" w:cs="宋体"/>
                <w:kern w:val="0"/>
                <w:sz w:val="22"/>
                <w:szCs w:val="22"/>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GB2312" w:cs="宋体"/>
                <w:kern w:val="0"/>
                <w:sz w:val="22"/>
                <w:szCs w:val="22"/>
                <w:lang w:val="zh-CN"/>
              </w:rPr>
            </w:pPr>
            <w:r>
              <w:rPr>
                <w:rFonts w:hint="eastAsia" w:ascii="宋体" w:hAnsi="??GB2312" w:cs="宋体"/>
                <w:color w:val="000000"/>
                <w:kern w:val="0"/>
                <w:szCs w:val="21"/>
                <w:lang w:val="zh-CN"/>
              </w:rPr>
              <w:t>投标产品的所用的品牌、性能、质量以及先进性、匹配性、可靠性、稳定性：根据各投标产品的品牌、性能、质量及先进性、匹配性、可靠性、稳定性酌情打分，较好4-5分，一般3-2分，其他1分及以下。（5分）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GB2312" w:cs="宋体"/>
                <w:kern w:val="0"/>
                <w:sz w:val="22"/>
                <w:szCs w:val="22"/>
                <w:lang w:val="zh-CN"/>
              </w:rPr>
            </w:pPr>
            <w:r>
              <w:rPr>
                <w:rFonts w:hint="eastAsia" w:ascii="宋体" w:hAnsi="??GB2312" w:cs="宋体"/>
                <w:color w:val="000000"/>
                <w:kern w:val="0"/>
                <w:szCs w:val="21"/>
                <w:lang w:val="zh-CN"/>
              </w:rPr>
              <w:t>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3</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Cs w:val="21"/>
                <w:lang w:val="zh-CN"/>
              </w:rPr>
            </w:pPr>
            <w:r>
              <w:rPr>
                <w:rFonts w:hint="eastAsia" w:ascii="宋体" w:hAnsi="宋体"/>
                <w:bCs/>
                <w:szCs w:val="21"/>
              </w:rPr>
              <w:t>资质</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7920"/>
              </w:tabs>
              <w:autoSpaceDE w:val="0"/>
              <w:autoSpaceDN w:val="0"/>
              <w:adjustRightInd w:val="0"/>
              <w:rPr>
                <w:rFonts w:ascii="宋体" w:cs="宋体"/>
                <w:kern w:val="0"/>
                <w:sz w:val="22"/>
                <w:szCs w:val="22"/>
                <w:highlight w:val="yellow"/>
                <w:lang w:val="zh-CN"/>
              </w:rPr>
            </w:pPr>
            <w:r>
              <w:rPr>
                <w:rFonts w:hint="eastAsia" w:ascii="宋体" w:cs="宋体"/>
                <w:color w:val="000000"/>
                <w:kern w:val="0"/>
                <w:szCs w:val="21"/>
                <w:lang w:val="zh-CN"/>
              </w:rPr>
              <w:t>投标企业通过ISO9000系列质量认证、ISO14001环境管理体系认证；中国环境标志产品认证证书，每提供一个证书得2分。（6分）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6</w:t>
            </w:r>
          </w:p>
        </w:tc>
      </w:tr>
      <w:tr>
        <w:tblPrEx>
          <w:tblLayout w:type="fixed"/>
          <w:tblCellMar>
            <w:top w:w="0" w:type="dxa"/>
            <w:left w:w="108" w:type="dxa"/>
            <w:bottom w:w="0" w:type="dxa"/>
            <w:right w:w="108" w:type="dxa"/>
          </w:tblCellMar>
        </w:tblPrEx>
        <w:trPr>
          <w:trHeight w:val="72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4</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业绩</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cs="宋体"/>
                <w:kern w:val="0"/>
                <w:sz w:val="22"/>
                <w:szCs w:val="22"/>
                <w:highlight w:val="yellow"/>
                <w:lang w:val="zh-CN"/>
              </w:rPr>
            </w:pPr>
            <w:r>
              <w:rPr>
                <w:rFonts w:hint="eastAsia" w:ascii="宋体" w:cs="宋体"/>
                <w:kern w:val="0"/>
                <w:szCs w:val="21"/>
                <w:lang w:val="zh-CN"/>
              </w:rPr>
              <w:t>请提供2014年以来2份同类或类似项目合同（金额不少于15万），一个有效案例得2分（提供合同复印件、盖章验收证明或发票底单）。</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4</w:t>
            </w:r>
          </w:p>
        </w:tc>
      </w:tr>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5</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hAnsi="宋体" w:cs="宋体"/>
                <w:szCs w:val="21"/>
              </w:rPr>
              <w:t>售后服务和质保期</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hAnsi="宋体" w:cs="宋体"/>
                <w:szCs w:val="21"/>
              </w:rPr>
              <w:t>响应招标文件售后服务及质保期基本要求得3分，优于招标文件售后服务及质保期基本要求可酌情加分，每增加一年免费质保加1分，最多加3分。未响应的不得分。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6</w:t>
            </w:r>
          </w:p>
        </w:tc>
      </w:tr>
      <w:tr>
        <w:tblPrEx>
          <w:tblLayout w:type="fixed"/>
          <w:tblCellMar>
            <w:top w:w="0" w:type="dxa"/>
            <w:left w:w="108" w:type="dxa"/>
            <w:bottom w:w="0" w:type="dxa"/>
            <w:right w:w="108" w:type="dxa"/>
          </w:tblCellMar>
        </w:tblPrEx>
        <w:trPr>
          <w:trHeight w:val="9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ascii="宋体" w:cs="宋体"/>
                <w:color w:val="000000"/>
                <w:kern w:val="0"/>
                <w:szCs w:val="21"/>
                <w:lang w:val="zh-CN"/>
              </w:rPr>
              <w:t>6</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jc w:val="center"/>
              <w:rPr>
                <w:rFonts w:ascii="宋体" w:cs="宋体"/>
                <w:kern w:val="0"/>
                <w:sz w:val="22"/>
                <w:szCs w:val="22"/>
                <w:lang w:val="zh-CN"/>
              </w:rPr>
            </w:pPr>
            <w:r>
              <w:rPr>
                <w:rFonts w:hint="eastAsia" w:ascii="宋体" w:cs="宋体"/>
                <w:color w:val="000000"/>
                <w:kern w:val="0"/>
                <w:szCs w:val="21"/>
                <w:lang w:val="zh-CN"/>
              </w:rPr>
              <w:t>本地化服务</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宋体" w:hAnsi="Arial" w:cs="宋体"/>
                <w:kern w:val="0"/>
                <w:sz w:val="22"/>
                <w:szCs w:val="22"/>
                <w:lang w:val="zh-CN"/>
              </w:rPr>
            </w:pPr>
            <w:r>
              <w:rPr>
                <w:rFonts w:hint="eastAsia" w:ascii="宋体" w:hAnsi="Arial" w:cs="宋体"/>
                <w:color w:val="000000"/>
                <w:kern w:val="0"/>
                <w:szCs w:val="21"/>
                <w:lang w:val="zh-CN"/>
              </w:rPr>
              <w:t>所在地在南京或非南京地区注册的企业在南京地区要具有在工商部门注册的分公司作为售后服务证明，并提供授权代表在公司满1年以上的南京市社保缴费证明得4分。（以营业执照原件和社保缴费证明原件为准）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Arial" w:cs="宋体"/>
                <w:kern w:val="0"/>
                <w:sz w:val="22"/>
                <w:szCs w:val="22"/>
                <w:lang w:val="zh-CN"/>
              </w:rPr>
            </w:pPr>
            <w:r>
              <w:rPr>
                <w:rFonts w:hint="eastAsia" w:ascii="宋体" w:hAnsi="Arial" w:cs="宋体"/>
                <w:color w:val="000000"/>
                <w:kern w:val="0"/>
                <w:szCs w:val="21"/>
                <w:lang w:val="zh-CN"/>
              </w:rPr>
              <w:t>4</w:t>
            </w:r>
          </w:p>
        </w:tc>
      </w:tr>
      <w:tr>
        <w:tblPrEx>
          <w:tblLayout w:type="fixed"/>
          <w:tblCellMar>
            <w:top w:w="0" w:type="dxa"/>
            <w:left w:w="108" w:type="dxa"/>
            <w:bottom w:w="0" w:type="dxa"/>
            <w:right w:w="108" w:type="dxa"/>
          </w:tblCellMar>
        </w:tblPrEx>
        <w:trPr>
          <w:trHeight w:val="52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Arial" w:cs="宋体"/>
                <w:kern w:val="0"/>
                <w:sz w:val="22"/>
                <w:szCs w:val="22"/>
                <w:lang w:val="zh-CN"/>
              </w:rPr>
            </w:pPr>
            <w:r>
              <w:rPr>
                <w:rFonts w:hint="eastAsia" w:ascii="宋体" w:hAnsi="Arial" w:cs="宋体"/>
                <w:color w:val="000000"/>
                <w:kern w:val="0"/>
                <w:szCs w:val="21"/>
                <w:lang w:val="zh-CN"/>
              </w:rPr>
              <w:t>7</w:t>
            </w:r>
          </w:p>
        </w:tc>
        <w:tc>
          <w:tcPr>
            <w:tcW w:w="1192" w:type="dxa"/>
            <w:tcBorders>
              <w:top w:val="single" w:color="auto" w:sz="4"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left"/>
              <w:rPr>
                <w:rFonts w:ascii="宋体" w:hAnsi="Arial" w:cs="宋体"/>
                <w:kern w:val="0"/>
                <w:sz w:val="22"/>
                <w:szCs w:val="22"/>
                <w:lang w:val="zh-CN"/>
              </w:rPr>
            </w:pPr>
            <w:r>
              <w:rPr>
                <w:rFonts w:ascii="宋体" w:hAnsi="Arial" w:cs="宋体"/>
                <w:kern w:val="0"/>
                <w:sz w:val="22"/>
                <w:szCs w:val="22"/>
                <w:lang w:val="zh-CN"/>
              </w:rPr>
              <w:t>样品分</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Arial" w:cs="宋体"/>
                <w:kern w:val="0"/>
                <w:sz w:val="22"/>
                <w:szCs w:val="22"/>
                <w:lang w:val="zh-CN"/>
              </w:rPr>
            </w:pPr>
            <w:r>
              <w:rPr>
                <w:rFonts w:hint="eastAsia" w:ascii="宋体" w:hAnsi="Arial" w:cs="宋体"/>
                <w:color w:val="000000"/>
                <w:kern w:val="0"/>
                <w:szCs w:val="21"/>
                <w:lang w:val="zh-CN"/>
              </w:rPr>
              <w:t>供应商需按照校方要求提供样品，评委根据样品的质量打分。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Arial" w:cs="宋体"/>
                <w:kern w:val="0"/>
                <w:sz w:val="22"/>
                <w:szCs w:val="22"/>
                <w:lang w:val="zh-CN"/>
              </w:rPr>
            </w:pPr>
            <w:r>
              <w:rPr>
                <w:rFonts w:hint="eastAsia" w:ascii="宋体" w:hAnsi="Arial" w:cs="宋体"/>
                <w:color w:val="000000"/>
                <w:kern w:val="0"/>
                <w:szCs w:val="21"/>
                <w:lang w:val="zh-CN"/>
              </w:rPr>
              <w:t>20</w:t>
            </w:r>
          </w:p>
        </w:tc>
      </w:tr>
      <w:tr>
        <w:tblPrEx>
          <w:tblLayout w:type="fixed"/>
          <w:tblCellMar>
            <w:top w:w="0" w:type="dxa"/>
            <w:left w:w="108" w:type="dxa"/>
            <w:bottom w:w="0" w:type="dxa"/>
            <w:right w:w="108" w:type="dxa"/>
          </w:tblCellMar>
        </w:tblPrEx>
        <w:trPr>
          <w:trHeight w:val="28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Arial" w:cs="宋体"/>
                <w:kern w:val="0"/>
                <w:sz w:val="22"/>
                <w:szCs w:val="22"/>
                <w:lang w:val="zh-CN"/>
              </w:rPr>
            </w:pPr>
          </w:p>
        </w:tc>
        <w:tc>
          <w:tcPr>
            <w:tcW w:w="119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Arial" w:cs="宋体"/>
                <w:kern w:val="0"/>
                <w:sz w:val="22"/>
                <w:szCs w:val="22"/>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Arial" w:cs="宋体"/>
                <w:kern w:val="0"/>
                <w:sz w:val="22"/>
                <w:szCs w:val="22"/>
                <w:lang w:val="zh-CN"/>
              </w:rPr>
            </w:pP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Arial" w:cs="宋体"/>
                <w:kern w:val="0"/>
                <w:sz w:val="22"/>
                <w:szCs w:val="22"/>
                <w:lang w:val="zh-CN"/>
              </w:rPr>
            </w:pPr>
            <w:r>
              <w:rPr>
                <w:rFonts w:hint="eastAsia" w:ascii="宋体" w:hAnsi="Arial" w:cs="宋体"/>
                <w:color w:val="000000"/>
                <w:kern w:val="0"/>
                <w:szCs w:val="21"/>
                <w:lang w:val="zh-CN"/>
              </w:rPr>
              <w:t>100</w:t>
            </w:r>
          </w:p>
        </w:tc>
      </w:tr>
    </w:tbl>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sectPr>
          <w:pgSz w:w="11906" w:h="16838"/>
          <w:pgMar w:top="1440" w:right="1800" w:bottom="1440" w:left="1800" w:header="851" w:footer="992" w:gutter="0"/>
          <w:cols w:space="425" w:num="1"/>
          <w:docGrid w:type="lines" w:linePitch="312" w:charSpace="0"/>
        </w:sectPr>
      </w:pPr>
    </w:p>
    <w:p>
      <w:pPr>
        <w:spacing w:line="360" w:lineRule="auto"/>
        <w:rPr>
          <w:sz w:val="24"/>
        </w:rPr>
      </w:pPr>
    </w:p>
    <w:p>
      <w:pPr>
        <w:spacing w:line="360" w:lineRule="auto"/>
        <w:rPr>
          <w:b/>
          <w:sz w:val="24"/>
        </w:rPr>
      </w:pPr>
      <w:r>
        <w:rPr>
          <w:rFonts w:hint="eastAsia"/>
          <w:b/>
          <w:sz w:val="24"/>
        </w:rPr>
        <w:t>六、项目需求：</w:t>
      </w:r>
    </w:p>
    <w:tbl>
      <w:tblPr>
        <w:tblStyle w:val="8"/>
        <w:tblW w:w="14760" w:type="dxa"/>
        <w:tblInd w:w="108" w:type="dxa"/>
        <w:tblLayout w:type="fixed"/>
        <w:tblCellMar>
          <w:top w:w="0" w:type="dxa"/>
          <w:left w:w="108" w:type="dxa"/>
          <w:bottom w:w="0" w:type="dxa"/>
          <w:right w:w="108" w:type="dxa"/>
        </w:tblCellMar>
      </w:tblPr>
      <w:tblGrid>
        <w:gridCol w:w="599"/>
        <w:gridCol w:w="841"/>
        <w:gridCol w:w="2340"/>
        <w:gridCol w:w="1080"/>
        <w:gridCol w:w="900"/>
        <w:gridCol w:w="1440"/>
        <w:gridCol w:w="2880"/>
        <w:gridCol w:w="720"/>
        <w:gridCol w:w="720"/>
        <w:gridCol w:w="900"/>
        <w:gridCol w:w="936"/>
        <w:gridCol w:w="648"/>
        <w:gridCol w:w="756"/>
      </w:tblGrid>
      <w:tr>
        <w:tblPrEx>
          <w:tblLayout w:type="fixed"/>
          <w:tblCellMar>
            <w:top w:w="0" w:type="dxa"/>
            <w:left w:w="108" w:type="dxa"/>
            <w:bottom w:w="0" w:type="dxa"/>
            <w:right w:w="108" w:type="dxa"/>
          </w:tblCellMar>
        </w:tblPrEx>
        <w:trPr>
          <w:trHeight w:val="780" w:hRule="atLeast"/>
        </w:trPr>
        <w:tc>
          <w:tcPr>
            <w:tcW w:w="3780" w:type="dxa"/>
            <w:gridSpan w:val="3"/>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p>
        </w:tc>
        <w:tc>
          <w:tcPr>
            <w:tcW w:w="10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90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44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28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4680" w:type="dxa"/>
            <w:gridSpan w:val="6"/>
            <w:tcBorders>
              <w:top w:val="nil"/>
              <w:left w:val="nil"/>
              <w:bottom w:val="single" w:color="auto" w:sz="4" w:space="0"/>
              <w:right w:val="nil"/>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764" w:hRule="atLeast"/>
        </w:trPr>
        <w:tc>
          <w:tcPr>
            <w:tcW w:w="5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货物名称</w:t>
            </w:r>
          </w:p>
        </w:tc>
        <w:tc>
          <w:tcPr>
            <w:tcW w:w="2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图片</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生产厂家及品牌</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产地</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尺寸（mm)      （长*宽*高）</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材质及技术参数要求等</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单价（元）</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总价（元）</w:t>
            </w: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质保期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Layout w:type="fixed"/>
          <w:tblCellMar>
            <w:top w:w="0" w:type="dxa"/>
            <w:left w:w="108" w:type="dxa"/>
            <w:bottom w:w="0" w:type="dxa"/>
            <w:right w:w="108" w:type="dxa"/>
          </w:tblCellMar>
        </w:tblPrEx>
        <w:trPr>
          <w:trHeight w:val="2000"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实验桌</w:t>
            </w:r>
            <w:r>
              <w:rPr>
                <w:rFonts w:hint="eastAsia" w:ascii="宋体" w:hAnsi="宋体" w:cs="宋体"/>
                <w:color w:val="000000"/>
                <w:sz w:val="24"/>
              </w:rPr>
              <w:t>1</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drawing>
                <wp:inline distT="0" distB="0" distL="0" distR="0">
                  <wp:extent cx="1303020" cy="1059180"/>
                  <wp:effectExtent l="0" t="0" r="0" b="7620"/>
                  <wp:docPr id="46" name="图片 46" descr="7OA7{XO`QWM@`R2T685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7OA7{XO`QWM@`R2T6854%]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03020" cy="1059180"/>
                          </a:xfrm>
                          <a:prstGeom prst="rect">
                            <a:avLst/>
                          </a:prstGeom>
                          <a:noFill/>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1400W*600D* 760H</w:t>
            </w:r>
          </w:p>
        </w:tc>
        <w:tc>
          <w:tcPr>
            <w:tcW w:w="2880" w:type="dxa"/>
            <w:vMerge w:val="restart"/>
            <w:tcBorders>
              <w:top w:val="single" w:color="auto" w:sz="4" w:space="0"/>
              <w:left w:val="nil"/>
              <w:right w:val="single" w:color="auto" w:sz="4" w:space="0"/>
            </w:tcBorders>
            <w:shd w:val="clear" w:color="auto" w:fill="auto"/>
            <w:vAlign w:val="center"/>
          </w:tcPr>
          <w:p>
            <w:pPr>
              <w:widowControl/>
              <w:spacing w:line="200" w:lineRule="exact"/>
              <w:rPr>
                <w:rFonts w:ascii="宋体" w:hAnsi="宋体" w:cs="宋体"/>
                <w:kern w:val="0"/>
                <w:sz w:val="18"/>
                <w:szCs w:val="18"/>
              </w:rPr>
            </w:pPr>
            <w:r>
              <w:rPr>
                <w:rFonts w:hint="eastAsia" w:ascii="宋体" w:hAnsi="宋体" w:cs="宋体"/>
                <w:kern w:val="0"/>
                <w:sz w:val="18"/>
                <w:szCs w:val="18"/>
              </w:rPr>
              <w:t>1. 基材：采用一级刨花板；符合国际环保E0标准,表面光滑宜清洁,桌面和桌腿25CM厚，其它部分1.8CM厚；颜色为新橡木花纹色；</w:t>
            </w:r>
          </w:p>
          <w:p>
            <w:pPr>
              <w:widowControl/>
              <w:spacing w:line="200" w:lineRule="exact"/>
              <w:rPr>
                <w:rFonts w:ascii="宋体" w:hAnsi="宋体" w:cs="宋体"/>
                <w:kern w:val="0"/>
                <w:sz w:val="18"/>
                <w:szCs w:val="18"/>
              </w:rPr>
            </w:pPr>
            <w:r>
              <w:rPr>
                <w:rFonts w:hint="eastAsia" w:ascii="宋体" w:hAnsi="宋体" w:cs="宋体"/>
                <w:kern w:val="0"/>
                <w:sz w:val="18"/>
                <w:szCs w:val="18"/>
              </w:rPr>
              <w:t>2.封边带：采用优质品牌,厚度达到2MM,,数控加工中心一体成形,无需手工刮刀处理,颜色需与面板同色。</w:t>
            </w:r>
          </w:p>
          <w:p>
            <w:pPr>
              <w:widowControl/>
              <w:spacing w:line="200" w:lineRule="exact"/>
              <w:rPr>
                <w:rFonts w:ascii="宋体" w:hAnsi="宋体" w:cs="宋体"/>
                <w:kern w:val="0"/>
                <w:sz w:val="18"/>
                <w:szCs w:val="18"/>
              </w:rPr>
            </w:pPr>
            <w:r>
              <w:rPr>
                <w:rFonts w:hint="eastAsia" w:ascii="宋体" w:hAnsi="宋体" w:cs="宋体"/>
                <w:kern w:val="0"/>
                <w:sz w:val="18"/>
                <w:szCs w:val="18"/>
              </w:rPr>
              <w:t>3、五金件：采用优质品牌锁，达到QB/T 1621-1992《弹子家具锁》标准，l，铰链符合QB/T 2189-1995《家具五金杯状暗铰链及其安装底座要求和检验》标准，导轨符合QB/T 2454-1999《家具五金抽屉导轨要求和检验》标准；</w:t>
            </w:r>
          </w:p>
          <w:p>
            <w:pPr>
              <w:widowControl/>
              <w:spacing w:line="200" w:lineRule="exact"/>
              <w:rPr>
                <w:rFonts w:ascii="宋体" w:hAnsi="宋体" w:cs="宋体"/>
                <w:kern w:val="0"/>
                <w:sz w:val="22"/>
                <w:szCs w:val="22"/>
              </w:rPr>
            </w:pPr>
            <w:r>
              <w:rPr>
                <w:rFonts w:hint="eastAsia" w:ascii="宋体" w:hAnsi="宋体" w:cs="宋体"/>
                <w:kern w:val="0"/>
                <w:sz w:val="18"/>
                <w:szCs w:val="18"/>
              </w:rPr>
              <w:t>4、胶水：采用优质白乳胶，游离甲醛达到GB 18583-2008《室内装饰修材料 胶粘剂中有害物质限量》标准。</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20</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000"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实验桌2</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drawing>
                <wp:inline distT="0" distB="0" distL="0" distR="0">
                  <wp:extent cx="1386840" cy="1112520"/>
                  <wp:effectExtent l="0" t="0" r="3810" b="0"/>
                  <wp:docPr id="45" name="图片 45" descr="`[33@E3(`L_2}B{A~7AR{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33@E3(`L_2}B{A~7AR{5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6840" cy="1112520"/>
                          </a:xfrm>
                          <a:prstGeom prst="rect">
                            <a:avLst/>
                          </a:prstGeom>
                          <a:noFill/>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1400W*600D* 760H</w:t>
            </w:r>
          </w:p>
        </w:tc>
        <w:tc>
          <w:tcPr>
            <w:tcW w:w="2880" w:type="dxa"/>
            <w:vMerge w:val="continue"/>
            <w:tcBorders>
              <w:left w:val="nil"/>
              <w:right w:val="single" w:color="auto" w:sz="4" w:space="0"/>
            </w:tcBorders>
            <w:shd w:val="clear" w:color="auto" w:fill="auto"/>
            <w:vAlign w:val="center"/>
          </w:tcPr>
          <w:p>
            <w:pPr>
              <w:widowControl/>
              <w:jc w:val="left"/>
              <w:rPr>
                <w:rFonts w:ascii="宋体" w:hAnsi="宋体" w:cs="宋体"/>
                <w:kern w:val="0"/>
                <w:sz w:val="22"/>
                <w:szCs w:val="22"/>
              </w:rPr>
            </w:pP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23</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000"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color w:val="000000"/>
              </w:rPr>
              <w:t>实验桌3</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drawing>
                <wp:inline distT="0" distB="0" distL="0" distR="0">
                  <wp:extent cx="1112520" cy="1173480"/>
                  <wp:effectExtent l="0" t="0" r="0" b="7620"/>
                  <wp:docPr id="44" name="图片 44" descr="(_QC9_5VZ2`I0XEYC%_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_QC9_5VZ2`I0XEYC%_N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12520" cy="1173480"/>
                          </a:xfrm>
                          <a:prstGeom prst="rect">
                            <a:avLst/>
                          </a:prstGeom>
                          <a:noFill/>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700W*600D* 760H</w:t>
            </w:r>
          </w:p>
        </w:tc>
        <w:tc>
          <w:tcPr>
            <w:tcW w:w="2880"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664"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讲台</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ascii="宋体" w:hAnsi="宋体" w:cs="宋体"/>
                <w:kern w:val="0"/>
                <w:sz w:val="24"/>
              </w:rPr>
              <w:drawing>
                <wp:inline distT="0" distB="0" distL="0" distR="0">
                  <wp:extent cx="1419225" cy="1047750"/>
                  <wp:effectExtent l="0" t="0" r="9525" b="0"/>
                  <wp:docPr id="124" name="图片 124" descr="讲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讲台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19225" cy="1047750"/>
                          </a:xfrm>
                          <a:prstGeom prst="rect">
                            <a:avLst/>
                          </a:prstGeom>
                          <a:noFill/>
                          <a:ln>
                            <a:noFill/>
                          </a:ln>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1500W*700D* 800H</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ascii="宋体" w:hAnsi="宋体" w:cs="宋体"/>
                <w:kern w:val="0"/>
                <w:sz w:val="18"/>
                <w:szCs w:val="18"/>
              </w:rPr>
            </w:pPr>
            <w:r>
              <w:rPr>
                <w:rFonts w:hint="eastAsia" w:ascii="宋体" w:hAnsi="宋体" w:cs="宋体"/>
                <w:kern w:val="0"/>
                <w:sz w:val="18"/>
                <w:szCs w:val="18"/>
              </w:rPr>
              <w:t>1. 基材：采用一级刨花板；符合国际环保E0标准,表面光滑宜清洁,桌面和桌腿25CM厚，其它部分1.8CM厚；颜色为新橡木花纹色；</w:t>
            </w:r>
          </w:p>
          <w:p>
            <w:pPr>
              <w:widowControl/>
              <w:spacing w:line="200" w:lineRule="exact"/>
              <w:rPr>
                <w:rFonts w:ascii="宋体" w:hAnsi="宋体" w:cs="宋体"/>
                <w:kern w:val="0"/>
                <w:sz w:val="18"/>
                <w:szCs w:val="18"/>
              </w:rPr>
            </w:pPr>
            <w:r>
              <w:rPr>
                <w:rFonts w:hint="eastAsia" w:ascii="宋体" w:hAnsi="宋体" w:cs="宋体"/>
                <w:kern w:val="0"/>
                <w:sz w:val="18"/>
                <w:szCs w:val="18"/>
              </w:rPr>
              <w:t>2.封边带：采用优质品牌,厚度达到2MM,,数控加工中心一体成形,无需手工刮刀处理,颜色需与面板同色。</w:t>
            </w:r>
          </w:p>
          <w:p>
            <w:pPr>
              <w:widowControl/>
              <w:spacing w:line="200" w:lineRule="exact"/>
              <w:rPr>
                <w:rFonts w:ascii="宋体" w:hAnsi="宋体" w:cs="宋体"/>
                <w:kern w:val="0"/>
                <w:sz w:val="18"/>
                <w:szCs w:val="18"/>
              </w:rPr>
            </w:pPr>
            <w:r>
              <w:rPr>
                <w:rFonts w:hint="eastAsia" w:ascii="宋体" w:hAnsi="宋体" w:cs="宋体"/>
                <w:kern w:val="0"/>
                <w:sz w:val="18"/>
                <w:szCs w:val="18"/>
              </w:rPr>
              <w:t>3、五金件：采用优质锁，达到QB/T 1621-1992《弹子家具锁》标准，l，铰链符合QB/T 2189-1995《家具五金杯状暗铰链及其安装底座要求和检验》标准，导轨符合QB/T 2454-1999《家具五金抽屉导轨要求和检验》标准；</w:t>
            </w:r>
          </w:p>
          <w:p>
            <w:pPr>
              <w:widowControl/>
              <w:spacing w:line="200" w:lineRule="exact"/>
              <w:rPr>
                <w:rFonts w:ascii="宋体" w:hAnsi="宋体" w:cs="宋体"/>
                <w:kern w:val="0"/>
                <w:sz w:val="22"/>
                <w:szCs w:val="22"/>
              </w:rPr>
            </w:pPr>
            <w:r>
              <w:rPr>
                <w:rFonts w:hint="eastAsia" w:ascii="宋体" w:hAnsi="宋体" w:cs="宋体"/>
                <w:kern w:val="0"/>
                <w:sz w:val="18"/>
                <w:szCs w:val="18"/>
              </w:rPr>
              <w:t>4、胶水：采用优质白乳胶，游离甲醛达到GB 18583-2008《室内装饰修材料 胶粘剂中有害物质限量》标准。</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798"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sz w:val="22"/>
                <w:szCs w:val="22"/>
              </w:rPr>
              <w:t>5</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方凳</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ascii="宋体" w:hAnsi="宋体" w:cs="宋体"/>
                <w:kern w:val="0"/>
                <w:sz w:val="24"/>
              </w:rPr>
              <w:drawing>
                <wp:inline distT="0" distB="0" distL="0" distR="0">
                  <wp:extent cx="1303020" cy="1195070"/>
                  <wp:effectExtent l="0" t="0" r="0" b="508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03020" cy="1195070"/>
                          </a:xfrm>
                          <a:prstGeom prst="rect">
                            <a:avLst/>
                          </a:prstGeom>
                          <a:noFill/>
                          <a:ln>
                            <a:noFill/>
                          </a:ln>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360W*260D*450H</w:t>
            </w:r>
          </w:p>
        </w:tc>
        <w:tc>
          <w:tcPr>
            <w:tcW w:w="2880" w:type="dxa"/>
            <w:tcBorders>
              <w:top w:val="single" w:color="auto" w:sz="4" w:space="0"/>
              <w:left w:val="nil"/>
              <w:bottom w:val="single" w:color="auto" w:sz="4" w:space="0"/>
              <w:right w:val="single" w:color="auto" w:sz="4" w:space="0"/>
            </w:tcBorders>
            <w:shd w:val="clear" w:color="auto" w:fill="auto"/>
            <w:vAlign w:val="center"/>
          </w:tcPr>
          <w:p>
            <w:pPr>
              <w:spacing w:line="200" w:lineRule="exact"/>
              <w:jc w:val="left"/>
              <w:rPr>
                <w:rFonts w:ascii="宋体" w:hAnsi="宋体" w:cs="宋体"/>
                <w:sz w:val="18"/>
                <w:szCs w:val="18"/>
              </w:rPr>
            </w:pPr>
            <w:r>
              <w:rPr>
                <w:rFonts w:hint="eastAsia"/>
                <w:sz w:val="18"/>
                <w:szCs w:val="18"/>
              </w:rPr>
              <w:t>1、此凳选用30*40*1.5的扁方管加工焊接而成；                              2、表面经除锈、磷化、静电喷塑、高温烘培固话而成；                     3、凳脚配有防护套，防止噪音，避免刮伤地板；                           4、凳面为E0级优质环保型2.5CM后的新橡木花纹三聚氰胺防火板。</w:t>
            </w:r>
          </w:p>
          <w:p>
            <w:pPr>
              <w:widowControl/>
              <w:spacing w:line="160" w:lineRule="exact"/>
              <w:rPr>
                <w:rFonts w:ascii="宋体" w:hAnsi="宋体" w:cs="宋体"/>
                <w:kern w:val="0"/>
                <w:sz w:val="22"/>
                <w:szCs w:val="22"/>
              </w:rPr>
            </w:pP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91</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171"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6</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钢架桌1</w:t>
            </w:r>
          </w:p>
        </w:tc>
        <w:tc>
          <w:tcPr>
            <w:tcW w:w="234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cs="宋体"/>
                <w:sz w:val="24"/>
              </w:rPr>
            </w:pPr>
            <w:r>
              <w:rPr>
                <w:rFonts w:hint="eastAsia" w:ascii="宋体" w:hAnsi="宋体" w:cs="宋体"/>
                <w:sz w:val="24"/>
              </w:rPr>
              <w:drawing>
                <wp:inline distT="0" distB="0" distL="0" distR="0">
                  <wp:extent cx="1304925" cy="952500"/>
                  <wp:effectExtent l="0" t="0" r="9525" b="0"/>
                  <wp:docPr id="125" name="图片 125" descr="CD$J[801J8X$J8)~3MEI_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D$J[801J8X$J8)~3MEI_L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04925" cy="952500"/>
                          </a:xfrm>
                          <a:prstGeom prst="rect">
                            <a:avLst/>
                          </a:prstGeom>
                          <a:noFill/>
                          <a:ln>
                            <a:noFill/>
                          </a:ln>
                        </pic:spPr>
                      </pic:pic>
                    </a:graphicData>
                  </a:graphic>
                </wp:inline>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color w:val="000000"/>
              </w:rPr>
              <w:t>1800W*800D* 750H</w:t>
            </w:r>
          </w:p>
        </w:tc>
        <w:tc>
          <w:tcPr>
            <w:tcW w:w="2880" w:type="dxa"/>
            <w:vMerge w:val="restart"/>
            <w:tcBorders>
              <w:top w:val="single" w:color="auto" w:sz="4" w:space="0"/>
              <w:left w:val="nil"/>
              <w:right w:val="single" w:color="auto" w:sz="4" w:space="0"/>
            </w:tcBorders>
            <w:shd w:val="clear" w:color="auto" w:fill="auto"/>
            <w:vAlign w:val="center"/>
          </w:tcPr>
          <w:p>
            <w:pPr>
              <w:spacing w:line="200" w:lineRule="exact"/>
              <w:rPr>
                <w:rFonts w:ascii="宋体" w:hAnsi="宋体" w:cs="宋体"/>
                <w:color w:val="000000"/>
                <w:sz w:val="18"/>
                <w:szCs w:val="18"/>
              </w:rPr>
            </w:pPr>
            <w:r>
              <w:rPr>
                <w:rFonts w:hint="eastAsia" w:ascii="宋体" w:hAnsi="宋体" w:cs="宋体"/>
                <w:color w:val="000000"/>
                <w:sz w:val="18"/>
                <w:szCs w:val="18"/>
              </w:rPr>
              <w:t>1. 基材：采用一级刨花板；符合国际环保E0标准,表面光滑宜清洁,桌面为25CM厚，颜色为新橡木花纹色；</w:t>
            </w:r>
          </w:p>
          <w:p>
            <w:pPr>
              <w:spacing w:line="200" w:lineRule="exact"/>
              <w:rPr>
                <w:rFonts w:ascii="宋体" w:hAnsi="宋体" w:cs="宋体"/>
                <w:color w:val="000000"/>
                <w:sz w:val="18"/>
                <w:szCs w:val="18"/>
              </w:rPr>
            </w:pPr>
            <w:r>
              <w:rPr>
                <w:rFonts w:hint="eastAsia" w:ascii="宋体" w:hAnsi="宋体" w:cs="宋体"/>
                <w:color w:val="000000"/>
                <w:sz w:val="18"/>
                <w:szCs w:val="18"/>
              </w:rPr>
              <w:t>2.封边带：采用优质品牌,厚度达到3MM,,数控加工中心一体成形,无需手工刮刀处理,颜色需与面板同色。</w:t>
            </w:r>
          </w:p>
          <w:p>
            <w:pPr>
              <w:spacing w:line="200" w:lineRule="exact"/>
              <w:rPr>
                <w:rFonts w:ascii="宋体" w:hAnsi="宋体" w:cs="宋体"/>
                <w:color w:val="000000"/>
                <w:sz w:val="18"/>
                <w:szCs w:val="18"/>
              </w:rPr>
            </w:pPr>
            <w:r>
              <w:rPr>
                <w:rFonts w:hint="eastAsia" w:ascii="宋体" w:hAnsi="宋体" w:cs="宋体"/>
                <w:color w:val="000000"/>
                <w:sz w:val="18"/>
                <w:szCs w:val="18"/>
              </w:rPr>
              <w:t>3.钢架为50*50*2.0的方管加工焊接而成，整体桌架表面经多道酸洗、磷化、除锈、静电喷塑、高温烘培固化而成。每只脚下端配有金属电镀可调脚。</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20</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008"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7</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钢架桌2</w:t>
            </w:r>
          </w:p>
        </w:tc>
        <w:tc>
          <w:tcPr>
            <w:tcW w:w="2340" w:type="dxa"/>
            <w:tcBorders>
              <w:top w:val="single" w:color="auto" w:sz="4" w:space="0"/>
              <w:left w:val="nil"/>
              <w:bottom w:val="single" w:color="auto" w:sz="4" w:space="0"/>
              <w:right w:val="single" w:color="auto" w:sz="4" w:space="0"/>
            </w:tcBorders>
            <w:shd w:val="clear" w:color="auto" w:fill="auto"/>
            <w:vAlign w:val="bottom"/>
          </w:tcPr>
          <w:p>
            <w:r>
              <w:drawing>
                <wp:anchor distT="0" distB="0" distL="114300" distR="114300" simplePos="0" relativeHeight="251660288" behindDoc="0" locked="0" layoutInCell="1" allowOverlap="1">
                  <wp:simplePos x="0" y="0"/>
                  <wp:positionH relativeFrom="column">
                    <wp:posOffset>68580</wp:posOffset>
                  </wp:positionH>
                  <wp:positionV relativeFrom="paragraph">
                    <wp:posOffset>179705</wp:posOffset>
                  </wp:positionV>
                  <wp:extent cx="1234440" cy="906145"/>
                  <wp:effectExtent l="0" t="0" r="3810" b="8255"/>
                  <wp:wrapNone/>
                  <wp:docPr id="48" name="图片 48" descr="7`WK)QX2)CNB(M7K8K1Z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7`WK)QX2)CNB(M7K8K1ZR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34440" cy="906145"/>
                          </a:xfrm>
                          <a:prstGeom prst="rect">
                            <a:avLst/>
                          </a:prstGeom>
                          <a:noFill/>
                        </pic:spPr>
                      </pic:pic>
                    </a:graphicData>
                  </a:graphic>
                </wp:anchor>
              </w:drawing>
            </w:r>
          </w:p>
        </w:tc>
        <w:tc>
          <w:tcPr>
            <w:tcW w:w="1080" w:type="dxa"/>
            <w:tcBorders>
              <w:top w:val="single" w:color="auto" w:sz="4" w:space="0"/>
              <w:left w:val="nil"/>
              <w:bottom w:val="single" w:color="auto" w:sz="4" w:space="0"/>
              <w:right w:val="single" w:color="auto" w:sz="4" w:space="0"/>
            </w:tcBorders>
            <w:shd w:val="clear" w:color="auto" w:fill="auto"/>
            <w:vAlign w:val="center"/>
          </w:tcPr>
          <w:p>
            <w:pPr>
              <w:rPr>
                <w:color w:val="000000"/>
                <w:sz w:val="22"/>
                <w:szCs w:val="22"/>
              </w:rPr>
            </w:pP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rPr>
              <w:t>1800W*1200D* 750H</w:t>
            </w:r>
          </w:p>
        </w:tc>
        <w:tc>
          <w:tcPr>
            <w:tcW w:w="2880" w:type="dxa"/>
            <w:vMerge w:val="continue"/>
            <w:tcBorders>
              <w:left w:val="nil"/>
              <w:bottom w:val="single" w:color="auto" w:sz="4" w:space="0"/>
              <w:right w:val="single" w:color="auto" w:sz="4" w:space="0"/>
            </w:tcBorders>
            <w:shd w:val="clear" w:color="auto" w:fill="auto"/>
            <w:vAlign w:val="center"/>
          </w:tcPr>
          <w:p>
            <w:pPr>
              <w:spacing w:line="200" w:lineRule="exact"/>
              <w:rPr>
                <w:color w:val="000000"/>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20</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479" w:hRule="atLeast"/>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8</w:t>
            </w:r>
          </w:p>
        </w:tc>
        <w:tc>
          <w:tcPr>
            <w:tcW w:w="84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椅子</w:t>
            </w:r>
          </w:p>
        </w:tc>
        <w:tc>
          <w:tcPr>
            <w:tcW w:w="2340" w:type="dxa"/>
            <w:tcBorders>
              <w:top w:val="single" w:color="auto" w:sz="4" w:space="0"/>
              <w:left w:val="nil"/>
              <w:bottom w:val="single" w:color="auto" w:sz="4" w:space="0"/>
              <w:right w:val="single" w:color="auto" w:sz="4" w:space="0"/>
            </w:tcBorders>
            <w:shd w:val="clear" w:color="auto" w:fill="auto"/>
            <w:vAlign w:val="bottom"/>
          </w:tcPr>
          <w:p>
            <w:r>
              <w:drawing>
                <wp:anchor distT="0" distB="0" distL="114300" distR="114300" simplePos="0" relativeHeight="251659264" behindDoc="0" locked="0" layoutInCell="1" allowOverlap="1">
                  <wp:simplePos x="0" y="0"/>
                  <wp:positionH relativeFrom="column">
                    <wp:posOffset>160020</wp:posOffset>
                  </wp:positionH>
                  <wp:positionV relativeFrom="paragraph">
                    <wp:posOffset>105410</wp:posOffset>
                  </wp:positionV>
                  <wp:extent cx="879475" cy="1276985"/>
                  <wp:effectExtent l="0" t="0" r="0" b="0"/>
                  <wp:wrapNone/>
                  <wp:docPr id="47" name="图片 47" descr="GKXUBL~AV{5G6WCHFVLQF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GKXUBL~AV{5G6WCHFVLQFR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79475" cy="1276985"/>
                          </a:xfrm>
                          <a:prstGeom prst="rect">
                            <a:avLst/>
                          </a:prstGeom>
                          <a:noFill/>
                        </pic:spPr>
                      </pic:pic>
                    </a:graphicData>
                  </a:graphic>
                </wp:anchor>
              </w:drawing>
            </w:r>
          </w:p>
          <w:tbl>
            <w:tblPr>
              <w:tblStyle w:val="8"/>
              <w:tblW w:w="2059" w:type="dxa"/>
              <w:tblCellSpacing w:w="0" w:type="dxa"/>
              <w:tblInd w:w="0" w:type="dxa"/>
              <w:tblLayout w:type="fixed"/>
              <w:tblCellMar>
                <w:top w:w="0" w:type="dxa"/>
                <w:left w:w="0" w:type="dxa"/>
                <w:bottom w:w="0" w:type="dxa"/>
                <w:right w:w="0" w:type="dxa"/>
              </w:tblCellMar>
            </w:tblPr>
            <w:tblGrid>
              <w:gridCol w:w="2059"/>
            </w:tblGrid>
            <w:tr>
              <w:tblPrEx>
                <w:tblLayout w:type="fixed"/>
                <w:tblCellMar>
                  <w:top w:w="0" w:type="dxa"/>
                  <w:left w:w="0" w:type="dxa"/>
                  <w:bottom w:w="0" w:type="dxa"/>
                  <w:right w:w="0" w:type="dxa"/>
                </w:tblCellMar>
              </w:tblPrEx>
              <w:trPr>
                <w:trHeight w:val="1879" w:hRule="atLeast"/>
                <w:tblCellSpacing w:w="0" w:type="dxa"/>
              </w:trPr>
              <w:tc>
                <w:tcPr>
                  <w:tcW w:w="2059" w:type="dxa"/>
                  <w:tcBorders>
                    <w:top w:val="nil"/>
                    <w:left w:val="nil"/>
                    <w:bottom w:val="nil"/>
                    <w:right w:val="nil"/>
                  </w:tcBorders>
                  <w:shd w:val="clear" w:color="auto" w:fill="auto"/>
                  <w:vAlign w:val="bottom"/>
                </w:tcPr>
                <w:p>
                  <w:pPr>
                    <w:rPr>
                      <w:rFonts w:ascii="宋体" w:hAnsi="宋体" w:cs="宋体"/>
                      <w:sz w:val="24"/>
                    </w:rPr>
                  </w:pPr>
                </w:p>
              </w:tc>
            </w:tr>
          </w:tbl>
          <w:p>
            <w:pPr>
              <w:rPr>
                <w:rFonts w:ascii="宋体" w:hAnsi="宋体" w:cs="宋体"/>
                <w:sz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常规</w:t>
            </w:r>
          </w:p>
        </w:tc>
        <w:tc>
          <w:tcPr>
            <w:tcW w:w="2880" w:type="dxa"/>
            <w:tcBorders>
              <w:top w:val="single" w:color="auto" w:sz="4" w:space="0"/>
              <w:left w:val="nil"/>
              <w:bottom w:val="single" w:color="auto" w:sz="4" w:space="0"/>
              <w:right w:val="single" w:color="auto" w:sz="4" w:space="0"/>
            </w:tcBorders>
            <w:shd w:val="clear" w:color="auto" w:fill="auto"/>
            <w:vAlign w:val="center"/>
          </w:tcPr>
          <w:p>
            <w:pPr>
              <w:spacing w:line="200" w:lineRule="exact"/>
              <w:rPr>
                <w:rFonts w:ascii="宋体" w:hAnsi="宋体" w:cs="宋体"/>
                <w:color w:val="000000"/>
                <w:sz w:val="18"/>
                <w:szCs w:val="18"/>
              </w:rPr>
            </w:pPr>
            <w:r>
              <w:rPr>
                <w:rFonts w:hint="eastAsia"/>
                <w:color w:val="000000"/>
                <w:sz w:val="18"/>
                <w:szCs w:val="18"/>
              </w:rPr>
              <w:t>1.椅架为无缝椭圆钢管，壁厚2.0厚；</w:t>
            </w:r>
            <w:r>
              <w:rPr>
                <w:rFonts w:hint="eastAsia"/>
                <w:color w:val="000000"/>
                <w:sz w:val="18"/>
                <w:szCs w:val="18"/>
              </w:rPr>
              <w:br w:type="textWrapping"/>
            </w:r>
            <w:r>
              <w:rPr>
                <w:rFonts w:hint="eastAsia"/>
                <w:color w:val="000000"/>
                <w:sz w:val="18"/>
                <w:szCs w:val="18"/>
              </w:rPr>
              <w:t>2.椅架表面经多道酸洗、磷化、除锈、静电喷塑、高温烘培固化而成。每只脚下端配有金属电镀可调脚；</w:t>
            </w:r>
            <w:r>
              <w:rPr>
                <w:rFonts w:hint="eastAsia"/>
                <w:color w:val="000000"/>
                <w:sz w:val="18"/>
                <w:szCs w:val="18"/>
              </w:rPr>
              <w:br w:type="textWrapping"/>
            </w:r>
            <w:r>
              <w:rPr>
                <w:rFonts w:hint="eastAsia"/>
                <w:color w:val="000000"/>
                <w:sz w:val="18"/>
                <w:szCs w:val="18"/>
              </w:rPr>
              <w:t>3.座面为进口PP料（聚丙烯）定型压铸而成，优质麻绒料，颜色可选。</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20</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张</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r>
    </w:tbl>
    <w:p>
      <w:pPr>
        <w:widowControl/>
        <w:spacing w:before="100" w:beforeAutospacing="1" w:after="100" w:afterAutospacing="1" w:line="360" w:lineRule="auto"/>
        <w:ind w:firstLine="285"/>
        <w:jc w:val="left"/>
        <w:rPr>
          <w:rFonts w:ascii="ˎ̥" w:hAnsi="ˎ̥" w:cs="宋体"/>
          <w:kern w:val="0"/>
          <w:sz w:val="24"/>
        </w:rPr>
        <w:sectPr>
          <w:pgSz w:w="16838" w:h="11906" w:orient="landscape"/>
          <w:pgMar w:top="1800" w:right="1440" w:bottom="1800" w:left="1440" w:header="851" w:footer="992" w:gutter="0"/>
          <w:cols w:space="425" w:num="1"/>
          <w:docGrid w:type="lines" w:linePitch="312" w:charSpace="0"/>
        </w:sectPr>
      </w:pPr>
      <w:r>
        <w:rPr>
          <w:rFonts w:ascii="ˎ̥" w:hAnsi="ˎ̥" w:cs="宋体"/>
          <w:kern w:val="0"/>
          <w:sz w:val="24"/>
        </w:rPr>
        <w:t>                                                </w:t>
      </w:r>
      <w:r>
        <w:rPr>
          <w:rFonts w:hint="eastAsia" w:ascii="ˎ̥" w:hAnsi="ˎ̥" w:cs="宋体"/>
          <w:kern w:val="0"/>
          <w:sz w:val="24"/>
        </w:rPr>
        <w:t>　　　　　　　　　　　　</w:t>
      </w:r>
      <w:r>
        <w:rPr>
          <w:rFonts w:ascii="ˎ̥" w:hAnsi="ˎ̥" w:cs="宋体"/>
          <w:kern w:val="0"/>
          <w:sz w:val="24"/>
        </w:rPr>
        <w:t> </w:t>
      </w:r>
    </w:p>
    <w:p>
      <w:pPr>
        <w:widowControl/>
        <w:rPr>
          <w:rFonts w:ascii="宋体" w:hAnsi="宋体" w:cs="宋体"/>
          <w:b/>
          <w:bCs/>
          <w:kern w:val="0"/>
          <w:sz w:val="32"/>
          <w:szCs w:val="32"/>
        </w:rPr>
        <w:sectPr>
          <w:pgSz w:w="16838" w:h="11906" w:orient="landscape"/>
          <w:pgMar w:top="1091" w:right="1440" w:bottom="1797" w:left="1440" w:header="851" w:footer="992" w:gutter="0"/>
          <w:cols w:space="425" w:num="1"/>
          <w:docGrid w:type="linesAndChars" w:linePitch="312" w:charSpace="0"/>
        </w:sectPr>
      </w:pPr>
    </w:p>
    <w:p>
      <w:pPr>
        <w:spacing w:line="360" w:lineRule="auto"/>
        <w:ind w:firstLine="422" w:firstLineChars="200"/>
        <w:rPr>
          <w:b/>
          <w:sz w:val="24"/>
        </w:rPr>
      </w:pPr>
      <w:r>
        <w:rPr>
          <w:rFonts w:hint="eastAsia"/>
          <w:b/>
          <w:szCs w:val="21"/>
        </w:rPr>
        <w:t>七</w:t>
      </w:r>
      <w:r>
        <w:rPr>
          <w:rFonts w:hint="eastAsia"/>
          <w:b/>
          <w:sz w:val="24"/>
        </w:rPr>
        <w:t>、标书要求：</w:t>
      </w:r>
      <w:bookmarkStart w:id="0" w:name="_Toc350199955"/>
    </w:p>
    <w:p>
      <w:pPr>
        <w:spacing w:line="360" w:lineRule="auto"/>
        <w:ind w:firstLine="480" w:firstLineChars="200"/>
        <w:rPr>
          <w:b/>
          <w:sz w:val="24"/>
        </w:rPr>
      </w:pPr>
      <w:r>
        <w:rPr>
          <w:rFonts w:hint="eastAsia"/>
          <w:sz w:val="24"/>
        </w:rPr>
        <w:t>(一）标书一式伍份，正本壹份、副本肆份；必须装订成册（胶封）并逐页加注页码；</w:t>
      </w:r>
    </w:p>
    <w:p>
      <w:pPr>
        <w:spacing w:line="360" w:lineRule="auto"/>
        <w:ind w:firstLine="240" w:firstLineChars="100"/>
        <w:rPr>
          <w:sz w:val="24"/>
        </w:rPr>
      </w:pPr>
      <w:r>
        <w:rPr>
          <w:rFonts w:hint="eastAsia"/>
          <w:sz w:val="24"/>
        </w:rPr>
        <w:t>（二）标书内容：根据投标文件格式制作；</w:t>
      </w:r>
    </w:p>
    <w:p>
      <w:pPr>
        <w:spacing w:line="360" w:lineRule="auto"/>
        <w:ind w:firstLine="240" w:firstLineChars="100"/>
        <w:rPr>
          <w:sz w:val="24"/>
        </w:rPr>
      </w:pPr>
      <w:r>
        <w:rPr>
          <w:rFonts w:hint="eastAsia"/>
          <w:sz w:val="24"/>
        </w:rPr>
        <w:t>（三）投标文件须密封并在封口加盖公章，否则文件将被拒收。</w:t>
      </w:r>
    </w:p>
    <w:bookmarkEnd w:id="0"/>
    <w:p>
      <w:pPr>
        <w:spacing w:line="360" w:lineRule="auto"/>
        <w:rPr>
          <w:b/>
          <w:sz w:val="24"/>
        </w:rPr>
      </w:pPr>
      <w:r>
        <w:rPr>
          <w:rFonts w:hint="eastAsia"/>
          <w:b/>
          <w:sz w:val="24"/>
        </w:rPr>
        <w:t xml:space="preserve">   八、其他要求：</w:t>
      </w:r>
    </w:p>
    <w:p>
      <w:pPr>
        <w:spacing w:line="360" w:lineRule="auto"/>
        <w:ind w:firstLine="240" w:firstLineChars="100"/>
        <w:rPr>
          <w:sz w:val="24"/>
        </w:rPr>
      </w:pPr>
      <w:r>
        <w:rPr>
          <w:rFonts w:hint="eastAsia"/>
          <w:sz w:val="24"/>
        </w:rPr>
        <w:t>（一）招标文件是合同不可分割的一部分，参与投标即视为对招标文件要求的接受；</w:t>
      </w:r>
    </w:p>
    <w:p>
      <w:pPr>
        <w:spacing w:line="360" w:lineRule="auto"/>
        <w:ind w:firstLine="240" w:firstLineChars="100"/>
        <w:rPr>
          <w:sz w:val="24"/>
        </w:rPr>
      </w:pPr>
      <w:r>
        <w:rPr>
          <w:rFonts w:hint="eastAsia"/>
          <w:sz w:val="24"/>
        </w:rPr>
        <w:t>（二）请投标人务必认真阅读本招标文件，严格遵照标书内容应标；</w:t>
      </w:r>
    </w:p>
    <w:p>
      <w:pPr>
        <w:spacing w:line="360" w:lineRule="auto"/>
        <w:ind w:firstLine="240" w:firstLineChars="100"/>
        <w:rPr>
          <w:sz w:val="24"/>
        </w:rPr>
      </w:pPr>
      <w:r>
        <w:rPr>
          <w:rFonts w:hint="eastAsia"/>
          <w:sz w:val="24"/>
        </w:rPr>
        <w:t>（三）中标方负责设备的设计、安装；</w:t>
      </w:r>
    </w:p>
    <w:p>
      <w:pPr>
        <w:spacing w:line="360" w:lineRule="auto"/>
        <w:ind w:firstLine="240" w:firstLineChars="100"/>
        <w:rPr>
          <w:szCs w:val="21"/>
        </w:rPr>
      </w:pPr>
      <w:r>
        <w:rPr>
          <w:rFonts w:hint="eastAsia"/>
          <w:sz w:val="24"/>
        </w:rPr>
        <w:t>（四）付款方式：货到安装验收合格后支付合同总价的95%，一年后支付5%</w:t>
      </w:r>
      <w:r>
        <w:rPr>
          <w:rFonts w:hint="eastAsia"/>
          <w:szCs w:val="21"/>
        </w:rPr>
        <w:t>。</w:t>
      </w:r>
    </w:p>
    <w:p>
      <w:pPr>
        <w:spacing w:line="360" w:lineRule="auto"/>
        <w:ind w:firstLine="210" w:firstLineChars="100"/>
        <w:rPr>
          <w:b/>
          <w:sz w:val="24"/>
        </w:rPr>
      </w:pPr>
      <w:r>
        <w:rPr>
          <w:rFonts w:hint="eastAsia" w:cs="宋体"/>
          <w:szCs w:val="21"/>
        </w:rPr>
        <w:t xml:space="preserve"> </w:t>
      </w:r>
      <w:r>
        <w:rPr>
          <w:rFonts w:hint="eastAsia"/>
          <w:b/>
          <w:sz w:val="24"/>
        </w:rPr>
        <w:t>九、下列情况者视为废标：</w:t>
      </w:r>
    </w:p>
    <w:p>
      <w:pPr>
        <w:spacing w:line="360" w:lineRule="auto"/>
        <w:ind w:firstLine="240" w:firstLineChars="100"/>
        <w:rPr>
          <w:sz w:val="24"/>
        </w:rPr>
      </w:pPr>
      <w:r>
        <w:rPr>
          <w:rFonts w:hint="eastAsia"/>
          <w:sz w:val="24"/>
        </w:rPr>
        <w:t>（一）投标文件资格审查项中任意一项不响应；</w:t>
      </w:r>
    </w:p>
    <w:p>
      <w:pPr>
        <w:spacing w:line="360" w:lineRule="auto"/>
        <w:ind w:firstLine="240" w:firstLineChars="100"/>
        <w:rPr>
          <w:sz w:val="24"/>
        </w:rPr>
      </w:pPr>
      <w:r>
        <w:rPr>
          <w:rFonts w:hint="eastAsia"/>
          <w:sz w:val="24"/>
        </w:rPr>
        <w:t>（二）开标一览表、法人授权委托书提供信息不全或未盖公章或未手写签名；</w:t>
      </w:r>
    </w:p>
    <w:p>
      <w:pPr>
        <w:spacing w:line="360" w:lineRule="auto"/>
        <w:ind w:firstLine="240" w:firstLineChars="100"/>
        <w:rPr>
          <w:sz w:val="24"/>
        </w:rPr>
      </w:pPr>
      <w:r>
        <w:rPr>
          <w:rFonts w:hint="eastAsia"/>
          <w:sz w:val="24"/>
        </w:rPr>
        <w:t>（三）投标文件未装订成册（胶封）或未逐页标注页码；</w:t>
      </w:r>
    </w:p>
    <w:p>
      <w:pPr>
        <w:spacing w:line="360" w:lineRule="auto"/>
        <w:ind w:firstLine="240" w:firstLineChars="100"/>
        <w:rPr>
          <w:sz w:val="24"/>
        </w:rPr>
      </w:pPr>
      <w:r>
        <w:rPr>
          <w:rFonts w:hint="eastAsia"/>
          <w:sz w:val="24"/>
        </w:rPr>
        <w:t>（四）投标文件附有招标人不能接受的条件；</w:t>
      </w:r>
    </w:p>
    <w:p>
      <w:pPr>
        <w:spacing w:line="360" w:lineRule="auto"/>
        <w:ind w:firstLine="240" w:firstLineChars="100"/>
        <w:rPr>
          <w:sz w:val="24"/>
        </w:rPr>
      </w:pPr>
      <w:r>
        <w:rPr>
          <w:rFonts w:hint="eastAsia"/>
          <w:sz w:val="24"/>
        </w:rPr>
        <w:t>（五）不符合招标文件中规定的实质性要求（报价、技术要求、投标人资质要求）；</w:t>
      </w:r>
    </w:p>
    <w:p>
      <w:pPr>
        <w:spacing w:line="360" w:lineRule="auto"/>
        <w:ind w:firstLine="240" w:firstLineChars="100"/>
        <w:rPr>
          <w:sz w:val="24"/>
        </w:rPr>
      </w:pPr>
      <w:r>
        <w:rPr>
          <w:rFonts w:hint="eastAsia"/>
          <w:sz w:val="24"/>
        </w:rPr>
        <w:t>（六）有三项及以上技术指标负偏离的；</w:t>
      </w:r>
    </w:p>
    <w:p>
      <w:pPr>
        <w:spacing w:line="360" w:lineRule="auto"/>
        <w:ind w:firstLine="240" w:firstLineChars="100"/>
        <w:rPr>
          <w:sz w:val="24"/>
        </w:rPr>
      </w:pPr>
      <w:r>
        <w:rPr>
          <w:rFonts w:hint="eastAsia"/>
          <w:sz w:val="24"/>
        </w:rPr>
        <w:t>（七）不响应招标文件规定的付款方式；</w:t>
      </w:r>
    </w:p>
    <w:p>
      <w:pPr>
        <w:spacing w:line="360" w:lineRule="auto"/>
        <w:ind w:firstLine="240" w:firstLineChars="100"/>
        <w:rPr>
          <w:sz w:val="24"/>
        </w:rPr>
      </w:pPr>
      <w:r>
        <w:rPr>
          <w:rFonts w:hint="eastAsia"/>
          <w:sz w:val="24"/>
        </w:rPr>
        <w:t>（八）不接受或不满足上一条（四、其他要求）中任意一项；</w:t>
      </w:r>
    </w:p>
    <w:p>
      <w:pPr>
        <w:spacing w:line="360" w:lineRule="auto"/>
        <w:ind w:firstLine="240" w:firstLineChars="100"/>
        <w:rPr>
          <w:sz w:val="24"/>
        </w:rPr>
      </w:pPr>
      <w:r>
        <w:rPr>
          <w:rFonts w:hint="eastAsia"/>
          <w:sz w:val="24"/>
        </w:rPr>
        <w:t>（九）有法律法规规定的其他违法行为。</w:t>
      </w:r>
    </w:p>
    <w:p>
      <w:pPr>
        <w:spacing w:line="360" w:lineRule="auto"/>
        <w:ind w:firstLine="480" w:firstLineChars="200"/>
        <w:rPr>
          <w:sz w:val="24"/>
        </w:rPr>
      </w:pPr>
      <w:r>
        <w:rPr>
          <w:rFonts w:hint="eastAsia"/>
          <w:sz w:val="24"/>
        </w:rPr>
        <w:t>十</w:t>
      </w:r>
      <w:r>
        <w:rPr>
          <w:rFonts w:hint="eastAsia"/>
          <w:b/>
          <w:sz w:val="24"/>
        </w:rPr>
        <w:t>、报名方法：</w:t>
      </w:r>
    </w:p>
    <w:p>
      <w:pPr>
        <w:spacing w:line="360" w:lineRule="auto"/>
        <w:ind w:firstLine="480" w:firstLineChars="200"/>
        <w:rPr>
          <w:sz w:val="24"/>
        </w:rPr>
      </w:pPr>
      <w:r>
        <w:rPr>
          <w:rFonts w:hint="eastAsia"/>
          <w:sz w:val="24"/>
        </w:rPr>
        <w:t>有意投标的投标人请在2017年7月16日下午17:00前发送单位名称、联系人、联系电话及项目编号和项目名称到296049516@qq.com邮箱中，并在邮件标题中注明“实验室定制桌椅项目投标”。</w:t>
      </w:r>
    </w:p>
    <w:p>
      <w:pPr>
        <w:spacing w:line="360" w:lineRule="auto"/>
        <w:rPr>
          <w:sz w:val="24"/>
        </w:rPr>
      </w:pPr>
      <w:r>
        <w:rPr>
          <w:rFonts w:hint="eastAsia"/>
          <w:sz w:val="24"/>
        </w:rPr>
        <w:t>凡未按要求报名者学校不接受其投标。</w:t>
      </w:r>
    </w:p>
    <w:p>
      <w:pPr>
        <w:spacing w:line="360" w:lineRule="auto"/>
        <w:rPr>
          <w:b/>
          <w:sz w:val="24"/>
        </w:rPr>
      </w:pPr>
      <w:r>
        <w:rPr>
          <w:rFonts w:hint="eastAsia"/>
          <w:sz w:val="24"/>
        </w:rPr>
        <w:t xml:space="preserve">  </w:t>
      </w:r>
      <w:r>
        <w:rPr>
          <w:rFonts w:hint="eastAsia"/>
          <w:b/>
          <w:sz w:val="24"/>
        </w:rPr>
        <w:t xml:space="preserve">  十一、时间、地点安排：</w:t>
      </w:r>
    </w:p>
    <w:p>
      <w:pPr>
        <w:spacing w:line="360" w:lineRule="auto"/>
        <w:ind w:firstLine="240" w:firstLineChars="100"/>
        <w:rPr>
          <w:sz w:val="24"/>
        </w:rPr>
      </w:pPr>
      <w:r>
        <w:rPr>
          <w:rFonts w:hint="eastAsia"/>
          <w:sz w:val="24"/>
        </w:rPr>
        <w:t>（一）标书送达时间：2017年7月17日上午9:30；</w:t>
      </w:r>
    </w:p>
    <w:p>
      <w:pPr>
        <w:spacing w:line="360" w:lineRule="auto"/>
        <w:ind w:firstLine="240" w:firstLineChars="100"/>
        <w:rPr>
          <w:sz w:val="24"/>
        </w:rPr>
      </w:pPr>
      <w:r>
        <w:rPr>
          <w:rFonts w:hint="eastAsia"/>
          <w:sz w:val="24"/>
        </w:rPr>
        <w:t>（二）送达地点：</w:t>
      </w:r>
      <w:r>
        <w:rPr>
          <w:sz w:val="24"/>
          <w:u w:val="none"/>
        </w:rPr>
        <w:t>南京市鼓楼区</w:t>
      </w:r>
      <w:r>
        <w:rPr>
          <w:rFonts w:hint="eastAsia"/>
          <w:sz w:val="24"/>
          <w:u w:val="none"/>
          <w:lang w:val="en-US" w:eastAsia="zh-CN"/>
        </w:rPr>
        <w:t xml:space="preserve"> </w:t>
      </w:r>
      <w:r>
        <w:rPr>
          <w:sz w:val="24"/>
          <w:u w:val="none"/>
        </w:rPr>
        <w:t>江东北路399号</w:t>
      </w:r>
      <w:r>
        <w:rPr>
          <w:rFonts w:hint="eastAsia"/>
          <w:sz w:val="24"/>
          <w:u w:val="none"/>
          <w:lang w:val="en-US" w:eastAsia="zh-CN"/>
        </w:rPr>
        <w:t xml:space="preserve"> 江苏开放大学</w:t>
      </w:r>
      <w:r>
        <w:rPr>
          <w:sz w:val="24"/>
          <w:u w:val="none"/>
        </w:rPr>
        <w:t>（江东北路与定淮门大街交叉口西南角）</w:t>
      </w:r>
      <w:r>
        <w:rPr>
          <w:rFonts w:hint="eastAsia"/>
          <w:sz w:val="24"/>
          <w:u w:val="none"/>
          <w:lang w:val="en-US" w:eastAsia="zh-CN"/>
        </w:rPr>
        <w:t>办公楼</w:t>
      </w:r>
      <w:r>
        <w:rPr>
          <w:sz w:val="24"/>
          <w:u w:val="none"/>
        </w:rPr>
        <w:t>二楼第一会议室</w:t>
      </w:r>
      <w:r>
        <w:rPr>
          <w:rFonts w:hint="eastAsia"/>
          <w:sz w:val="24"/>
          <w:u w:val="none"/>
        </w:rPr>
        <w:t>；</w:t>
      </w:r>
      <w:bookmarkStart w:id="19" w:name="_GoBack"/>
      <w:bookmarkEnd w:id="19"/>
    </w:p>
    <w:p>
      <w:pPr>
        <w:spacing w:line="360" w:lineRule="auto"/>
        <w:ind w:firstLine="240" w:firstLineChars="100"/>
        <w:rPr>
          <w:sz w:val="24"/>
        </w:rPr>
      </w:pPr>
      <w:r>
        <w:rPr>
          <w:rFonts w:hint="eastAsia"/>
          <w:sz w:val="24"/>
        </w:rPr>
        <w:t>（三7）开标时间：2017年月17日上午9:30。</w:t>
      </w:r>
    </w:p>
    <w:p>
      <w:pPr>
        <w:spacing w:line="360" w:lineRule="auto"/>
        <w:ind w:firstLine="482" w:firstLineChars="200"/>
        <w:rPr>
          <w:b/>
          <w:sz w:val="24"/>
        </w:rPr>
      </w:pPr>
      <w:r>
        <w:rPr>
          <w:rFonts w:hint="eastAsia"/>
          <w:b/>
          <w:sz w:val="24"/>
        </w:rPr>
        <w:t>十二、联系方式：</w:t>
      </w:r>
    </w:p>
    <w:p>
      <w:pPr>
        <w:spacing w:line="360" w:lineRule="auto"/>
        <w:ind w:firstLine="240" w:firstLineChars="100"/>
        <w:rPr>
          <w:sz w:val="24"/>
        </w:rPr>
      </w:pPr>
      <w:r>
        <w:rPr>
          <w:rFonts w:hint="eastAsia"/>
          <w:sz w:val="24"/>
        </w:rPr>
        <w:t>（一）地址：</w:t>
      </w:r>
      <w:r>
        <w:rPr>
          <w:sz w:val="24"/>
        </w:rPr>
        <w:t>南京市鼓楼区江东北路399号（江东北路与定淮门大街交叉口西南角）</w:t>
      </w:r>
      <w:r>
        <w:rPr>
          <w:rFonts w:hint="eastAsia"/>
          <w:sz w:val="24"/>
        </w:rPr>
        <w:t>1012室；</w:t>
      </w:r>
    </w:p>
    <w:p>
      <w:pPr>
        <w:spacing w:line="360" w:lineRule="auto"/>
        <w:ind w:firstLine="240" w:firstLineChars="100"/>
        <w:rPr>
          <w:sz w:val="24"/>
        </w:rPr>
      </w:pPr>
      <w:r>
        <w:rPr>
          <w:rFonts w:hint="eastAsia"/>
          <w:sz w:val="24"/>
        </w:rPr>
        <w:t>（二）邮编：</w:t>
      </w:r>
      <w:r>
        <w:rPr>
          <w:sz w:val="24"/>
        </w:rPr>
        <w:t>2100</w:t>
      </w:r>
      <w:r>
        <w:rPr>
          <w:rFonts w:hint="eastAsia"/>
          <w:sz w:val="24"/>
        </w:rPr>
        <w:t>36；</w:t>
      </w:r>
    </w:p>
    <w:p>
      <w:pPr>
        <w:spacing w:line="360" w:lineRule="auto"/>
        <w:ind w:firstLine="240" w:firstLineChars="100"/>
        <w:rPr>
          <w:sz w:val="24"/>
        </w:rPr>
      </w:pPr>
      <w:r>
        <w:rPr>
          <w:rFonts w:hint="eastAsia"/>
          <w:sz w:val="24"/>
        </w:rPr>
        <w:t>（三）电话：</w:t>
      </w:r>
      <w:r>
        <w:rPr>
          <w:sz w:val="24"/>
        </w:rPr>
        <w:t>(025)</w:t>
      </w:r>
      <w:r>
        <w:rPr>
          <w:rFonts w:hint="eastAsia"/>
          <w:sz w:val="24"/>
        </w:rPr>
        <w:t xml:space="preserve"> 86265605；</w:t>
      </w:r>
    </w:p>
    <w:p>
      <w:pPr>
        <w:spacing w:line="360" w:lineRule="auto"/>
        <w:ind w:firstLine="240" w:firstLineChars="100"/>
        <w:rPr>
          <w:sz w:val="24"/>
        </w:rPr>
      </w:pPr>
      <w:r>
        <w:rPr>
          <w:rFonts w:hint="eastAsia"/>
          <w:sz w:val="24"/>
        </w:rPr>
        <w:t>（四）联系人：李老师。</w:t>
      </w:r>
    </w:p>
    <w:p>
      <w:pPr>
        <w:spacing w:line="360" w:lineRule="auto"/>
        <w:rPr>
          <w:rFonts w:ascii="宋体" w:hAnsi="宋体" w:cs="宋体"/>
          <w:b/>
          <w:sz w:val="24"/>
        </w:rPr>
      </w:pPr>
      <w:r>
        <w:rPr>
          <w:rFonts w:hint="eastAsia" w:ascii="宋体"/>
          <w:b/>
          <w:sz w:val="24"/>
        </w:rPr>
        <w:t>十三、</w:t>
      </w:r>
      <w:r>
        <w:rPr>
          <w:rFonts w:ascii="宋体" w:hAnsi="宋体" w:cs="宋体"/>
          <w:b/>
          <w:sz w:val="24"/>
        </w:rPr>
        <w:t>合同草案条款：</w:t>
      </w: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1" w:name="hetongStart"/>
      <w:bookmarkEnd w:id="1"/>
      <w:r>
        <w:rPr>
          <w:rFonts w:hint="eastAsia" w:ascii="宋体" w:hAnsi="宋体"/>
          <w:sz w:val="24"/>
        </w:rPr>
        <w:t>甲方:</w:t>
      </w:r>
      <w:bookmarkStart w:id="2" w:name="purchase_start"/>
      <w:bookmarkEnd w:id="2"/>
      <w:bookmarkStart w:id="3" w:name="purchase_name"/>
      <w:bookmarkEnd w:id="3"/>
      <w:r>
        <w:rPr>
          <w:rFonts w:hint="eastAsia" w:ascii="宋体" w:hAnsi="宋体"/>
          <w:sz w:val="24"/>
        </w:rPr>
        <w:t xml:space="preserve"> 江苏开放大学 </w:t>
      </w:r>
      <w:bookmarkStart w:id="4" w:name="purchase_end"/>
      <w:bookmarkEnd w:id="4"/>
    </w:p>
    <w:p>
      <w:pPr>
        <w:widowControl/>
        <w:snapToGrid w:val="0"/>
        <w:spacing w:before="19" w:line="360" w:lineRule="auto"/>
        <w:rPr>
          <w:rFonts w:ascii="宋体" w:hAnsi="宋体"/>
          <w:sz w:val="24"/>
          <w:u w:val="single"/>
        </w:rPr>
      </w:pPr>
      <w:r>
        <w:rPr>
          <w:rFonts w:hint="eastAsia" w:ascii="宋体" w:hAnsi="宋体"/>
          <w:sz w:val="24"/>
        </w:rPr>
        <w:t>乙方:</w:t>
      </w:r>
      <w:bookmarkStart w:id="5" w:name="suppliers_name"/>
      <w:bookmarkEnd w:id="5"/>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校内网上公示</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8"/>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shd w:val="clear" w:color="auto" w:fill="auto"/>
            <w:vAlign w:val="center"/>
          </w:tcPr>
          <w:p>
            <w:pPr>
              <w:spacing w:line="360" w:lineRule="auto"/>
              <w:jc w:val="center"/>
              <w:rPr>
                <w:rFonts w:ascii="宋体" w:hAnsi="宋体"/>
                <w:sz w:val="24"/>
              </w:rPr>
            </w:pPr>
            <w:r>
              <w:rPr>
                <w:rFonts w:hint="eastAsia" w:ascii="宋体" w:hAnsi="宋体"/>
                <w:sz w:val="24"/>
              </w:rPr>
              <w:t>总价</w:t>
            </w:r>
          </w:p>
        </w:tc>
        <w:tc>
          <w:tcPr>
            <w:tcW w:w="1090" w:type="dxa"/>
            <w:shd w:val="clear" w:color="auto" w:fill="auto"/>
            <w:vAlign w:val="center"/>
          </w:tcPr>
          <w:p>
            <w:pPr>
              <w:spacing w:line="360" w:lineRule="auto"/>
              <w:jc w:val="center"/>
              <w:rPr>
                <w:rFonts w:ascii="宋体" w:hAnsi="宋体"/>
                <w:sz w:val="24"/>
              </w:rPr>
            </w:pPr>
            <w:r>
              <w:rPr>
                <w:rFonts w:hint="eastAsia" w:ascii="宋体" w:hAnsi="宋体"/>
                <w:b/>
                <w:bCs/>
                <w:sz w:val="24"/>
              </w:rPr>
              <w:t>免费质保期</w:t>
            </w:r>
          </w:p>
        </w:tc>
        <w:tc>
          <w:tcPr>
            <w:tcW w:w="993" w:type="dxa"/>
            <w:shd w:val="clear" w:color="auto" w:fill="auto"/>
            <w:vAlign w:val="center"/>
          </w:tcPr>
          <w:p>
            <w:pPr>
              <w:spacing w:line="360" w:lineRule="auto"/>
              <w:jc w:val="center"/>
              <w:rPr>
                <w:rFonts w:ascii="宋体" w:hAnsi="宋体"/>
                <w:sz w:val="24"/>
              </w:rPr>
            </w:pPr>
            <w:r>
              <w:rPr>
                <w:rFonts w:hint="eastAsia" w:ascii="宋体" w:hAnsi="宋体"/>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spacing w:line="360" w:lineRule="auto"/>
              <w:jc w:val="center"/>
              <w:rPr>
                <w:rFonts w:ascii="宋体" w:hAnsi="宋体"/>
                <w:sz w:val="24"/>
              </w:rPr>
            </w:pPr>
            <w:bookmarkStart w:id="6" w:name="Ord_Seq_Name"/>
            <w:bookmarkEnd w:id="6"/>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ascii="宋体" w:hAnsi="宋体"/>
                <w:sz w:val="24"/>
              </w:rPr>
            </w:pPr>
            <w:r>
              <w:rPr>
                <w:rFonts w:hint="eastAsia" w:ascii="宋体" w:hAnsi="宋体"/>
                <w:sz w:val="24"/>
              </w:rPr>
              <w:t>详见招标文件</w:t>
            </w: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ascii="宋体" w:hAnsi="宋体"/>
                <w:sz w:val="24"/>
              </w:rPr>
            </w:pPr>
            <w:r>
              <w:rPr>
                <w:rFonts w:hint="eastAsia" w:ascii="宋体" w:hAnsi="宋体"/>
                <w:sz w:val="24"/>
              </w:rPr>
              <w:t>详见招标文件</w:t>
            </w: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ascii="宋体" w:hAnsi="宋体"/>
                <w:sz w:val="24"/>
              </w:rPr>
            </w:pP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 xml:space="preserve">                      ￥：</w:t>
            </w:r>
            <w:bookmarkStart w:id="7" w:name="Ppp_Amt_1"/>
            <w:bookmarkEnd w:id="7"/>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8" w:name="Cus_Usr"/>
            <w:bookmarkEnd w:id="8"/>
          </w:p>
          <w:p>
            <w:pPr>
              <w:spacing w:line="360" w:lineRule="auto"/>
              <w:rPr>
                <w:rFonts w:ascii="宋体" w:hAnsi="宋体"/>
                <w:sz w:val="24"/>
              </w:rPr>
            </w:pPr>
            <w:r>
              <w:rPr>
                <w:rFonts w:hint="eastAsia" w:ascii="宋体" w:hAnsi="宋体"/>
                <w:sz w:val="24"/>
              </w:rPr>
              <w:t>固定电话：</w:t>
            </w:r>
            <w:bookmarkStart w:id="9" w:name="Cus_Tel"/>
            <w:bookmarkEnd w:id="9"/>
            <w:r>
              <w:rPr>
                <w:rFonts w:hint="eastAsia" w:ascii="宋体" w:hAnsi="宋体"/>
                <w:sz w:val="24"/>
              </w:rPr>
              <w:t xml:space="preserve">       移动电话：</w:t>
            </w:r>
            <w:bookmarkStart w:id="10" w:name="Cus_Mob"/>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 xml:space="preserve">联系人： </w:t>
            </w:r>
            <w:bookmarkStart w:id="11" w:name="Spr_Usr"/>
            <w:bookmarkEnd w:id="11"/>
          </w:p>
          <w:p>
            <w:pPr>
              <w:spacing w:line="360" w:lineRule="auto"/>
              <w:rPr>
                <w:rFonts w:ascii="宋体" w:hAnsi="宋体"/>
                <w:sz w:val="24"/>
              </w:rPr>
            </w:pPr>
            <w:r>
              <w:rPr>
                <w:rFonts w:hint="eastAsia" w:ascii="宋体" w:hAnsi="宋体"/>
                <w:sz w:val="24"/>
              </w:rPr>
              <w:t>固定电话：</w:t>
            </w:r>
            <w:bookmarkStart w:id="12" w:name="Spr_Tel"/>
            <w:bookmarkEnd w:id="12"/>
            <w:r>
              <w:rPr>
                <w:rFonts w:hint="eastAsia" w:ascii="宋体" w:hAnsi="宋体"/>
                <w:sz w:val="24"/>
              </w:rPr>
              <w:t xml:space="preserve">       移动电话：</w:t>
            </w:r>
            <w:bookmarkStart w:id="13" w:name="Spr_Mob"/>
            <w:bookmarkEnd w:id="13"/>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 xml:space="preserve">、交货地点： </w:t>
      </w:r>
      <w:bookmarkStart w:id="14" w:name="Con_Location"/>
      <w:bookmarkEnd w:id="14"/>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 xml:space="preserve">      无       </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u w:val="single"/>
        </w:rPr>
      </w:pPr>
      <w:r>
        <w:rPr>
          <w:rFonts w:hint="eastAsia" w:ascii="宋体" w:hAnsi="宋体"/>
          <w:b/>
          <w:sz w:val="24"/>
        </w:rPr>
        <w:t xml:space="preserve">甲方： </w:t>
      </w:r>
      <w:bookmarkStart w:id="15" w:name="purchase_one_start"/>
      <w:bookmarkEnd w:id="15"/>
      <w:bookmarkStart w:id="16" w:name="purchase_name_one"/>
      <w:bookmarkEnd w:id="16"/>
      <w:r>
        <w:rPr>
          <w:rFonts w:hint="eastAsia" w:ascii="宋体" w:hAnsi="宋体"/>
          <w:b/>
          <w:sz w:val="24"/>
        </w:rPr>
        <w:t xml:space="preserve"> 江苏开放大学 </w:t>
      </w:r>
      <w:bookmarkStart w:id="17" w:name="purchase_one_end"/>
      <w:bookmarkEnd w:id="17"/>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江东北路399号     </w:t>
      </w:r>
      <w:r>
        <w:rPr>
          <w:rFonts w:hint="eastAsia" w:ascii="宋体" w:hAnsi="宋体"/>
          <w:sz w:val="24"/>
        </w:rPr>
        <w:t xml:space="preserve"> 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 xml:space="preserve">月日 </w:t>
      </w:r>
    </w:p>
    <w:p>
      <w:pPr>
        <w:widowControl/>
        <w:snapToGrid w:val="0"/>
        <w:spacing w:before="19" w:line="360" w:lineRule="auto"/>
        <w:rPr>
          <w:rFonts w:ascii="宋体" w:hAnsi="宋体"/>
          <w:sz w:val="24"/>
        </w:rPr>
      </w:pPr>
      <w:r>
        <w:rPr>
          <w:rFonts w:hint="eastAsia" w:ascii="宋体" w:hAnsi="宋体"/>
          <w:b/>
          <w:sz w:val="24"/>
        </w:rPr>
        <w:t>乙方：</w:t>
      </w:r>
      <w:bookmarkStart w:id="18" w:name="suppliers_name_one"/>
      <w:bookmarkEnd w:id="18"/>
      <w:r>
        <w:rPr>
          <w:rFonts w:hint="eastAsia" w:ascii="宋体" w:hAnsi="宋体"/>
          <w:b/>
          <w:sz w:val="24"/>
        </w:rPr>
        <w:t xml:space="preserve">            （盖章）</w:t>
      </w:r>
    </w:p>
    <w:p>
      <w:pPr>
        <w:widowControl/>
        <w:snapToGrid w:val="0"/>
        <w:spacing w:before="19" w:line="360" w:lineRule="auto"/>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ind w:firstLine="3360" w:firstLineChars="1400"/>
        <w:rPr>
          <w:rFonts w:ascii="宋体" w:hAnsi="宋体"/>
          <w:color w:val="FF0000"/>
          <w:sz w:val="24"/>
          <w:u w:val="single"/>
        </w:rPr>
      </w:pPr>
    </w:p>
    <w:p/>
    <w:sectPr>
      <w:footerReference r:id="rId4" w:type="first"/>
      <w:footerReference r:id="rId3" w:type="default"/>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rFonts w:hint="eastAsia"/>
        <w:lang w:val="zh-CN"/>
      </w:rPr>
      <w:t>１</w:t>
    </w:r>
    <w:r>
      <w:fldChar w:fldCharType="end"/>
    </w:r>
  </w:p>
  <w:p>
    <w:pPr>
      <w:pStyle w:val="4"/>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rFonts w:hint="eastAsia"/>
        <w:lang w:val="zh-CN"/>
      </w:rPr>
      <w:t>０</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41"/>
    <w:rsid w:val="00000B07"/>
    <w:rsid w:val="0001084F"/>
    <w:rsid w:val="000160F9"/>
    <w:rsid w:val="0001725D"/>
    <w:rsid w:val="00050867"/>
    <w:rsid w:val="00052384"/>
    <w:rsid w:val="00052C4D"/>
    <w:rsid w:val="00055447"/>
    <w:rsid w:val="00060952"/>
    <w:rsid w:val="00060B24"/>
    <w:rsid w:val="00061AC1"/>
    <w:rsid w:val="000640ED"/>
    <w:rsid w:val="00066800"/>
    <w:rsid w:val="00075308"/>
    <w:rsid w:val="0007755E"/>
    <w:rsid w:val="00090C43"/>
    <w:rsid w:val="000A5A93"/>
    <w:rsid w:val="000B729C"/>
    <w:rsid w:val="000C2017"/>
    <w:rsid w:val="000C47F6"/>
    <w:rsid w:val="000C6BDB"/>
    <w:rsid w:val="000D2919"/>
    <w:rsid w:val="000E42A4"/>
    <w:rsid w:val="000F4DDB"/>
    <w:rsid w:val="00116511"/>
    <w:rsid w:val="00117154"/>
    <w:rsid w:val="0012416E"/>
    <w:rsid w:val="00125725"/>
    <w:rsid w:val="00147D64"/>
    <w:rsid w:val="00155E39"/>
    <w:rsid w:val="001678AE"/>
    <w:rsid w:val="00170E22"/>
    <w:rsid w:val="00174FA5"/>
    <w:rsid w:val="00184CAD"/>
    <w:rsid w:val="001869B5"/>
    <w:rsid w:val="001A0808"/>
    <w:rsid w:val="001A637C"/>
    <w:rsid w:val="001B728F"/>
    <w:rsid w:val="001C0B55"/>
    <w:rsid w:val="001C2775"/>
    <w:rsid w:val="001E0634"/>
    <w:rsid w:val="001E0FD0"/>
    <w:rsid w:val="001F1D1F"/>
    <w:rsid w:val="001F6755"/>
    <w:rsid w:val="002008D5"/>
    <w:rsid w:val="002479DA"/>
    <w:rsid w:val="00251655"/>
    <w:rsid w:val="00255E78"/>
    <w:rsid w:val="00271DB4"/>
    <w:rsid w:val="002B1FF1"/>
    <w:rsid w:val="002B46B1"/>
    <w:rsid w:val="002C3A9D"/>
    <w:rsid w:val="002D3802"/>
    <w:rsid w:val="002D4BD5"/>
    <w:rsid w:val="002E25A9"/>
    <w:rsid w:val="002E4053"/>
    <w:rsid w:val="002E5343"/>
    <w:rsid w:val="003139F5"/>
    <w:rsid w:val="0031745A"/>
    <w:rsid w:val="0032198C"/>
    <w:rsid w:val="00321E98"/>
    <w:rsid w:val="003252DE"/>
    <w:rsid w:val="0032682E"/>
    <w:rsid w:val="0033297D"/>
    <w:rsid w:val="003333FF"/>
    <w:rsid w:val="00336C2F"/>
    <w:rsid w:val="0033737C"/>
    <w:rsid w:val="00343FAC"/>
    <w:rsid w:val="00345174"/>
    <w:rsid w:val="00350FF5"/>
    <w:rsid w:val="00351763"/>
    <w:rsid w:val="00353585"/>
    <w:rsid w:val="0035499B"/>
    <w:rsid w:val="00355F91"/>
    <w:rsid w:val="003748FF"/>
    <w:rsid w:val="00387D1D"/>
    <w:rsid w:val="003970F2"/>
    <w:rsid w:val="003B501B"/>
    <w:rsid w:val="003C0938"/>
    <w:rsid w:val="003D0B5D"/>
    <w:rsid w:val="003D31BF"/>
    <w:rsid w:val="003F605F"/>
    <w:rsid w:val="004075E4"/>
    <w:rsid w:val="00411E06"/>
    <w:rsid w:val="00415EB6"/>
    <w:rsid w:val="00433182"/>
    <w:rsid w:val="004503A8"/>
    <w:rsid w:val="0045436A"/>
    <w:rsid w:val="00456E48"/>
    <w:rsid w:val="00471CB5"/>
    <w:rsid w:val="004753B0"/>
    <w:rsid w:val="00477525"/>
    <w:rsid w:val="00484B0F"/>
    <w:rsid w:val="00487809"/>
    <w:rsid w:val="00490749"/>
    <w:rsid w:val="00490B60"/>
    <w:rsid w:val="004B32F3"/>
    <w:rsid w:val="004B5B4C"/>
    <w:rsid w:val="004C531E"/>
    <w:rsid w:val="004C7040"/>
    <w:rsid w:val="004E318E"/>
    <w:rsid w:val="004E5BEA"/>
    <w:rsid w:val="004F0912"/>
    <w:rsid w:val="004F51A8"/>
    <w:rsid w:val="005143EF"/>
    <w:rsid w:val="00525725"/>
    <w:rsid w:val="00526AD5"/>
    <w:rsid w:val="00531954"/>
    <w:rsid w:val="00531C29"/>
    <w:rsid w:val="0053625F"/>
    <w:rsid w:val="00563D7E"/>
    <w:rsid w:val="00565A53"/>
    <w:rsid w:val="00573393"/>
    <w:rsid w:val="00575C9C"/>
    <w:rsid w:val="005848D3"/>
    <w:rsid w:val="00585B74"/>
    <w:rsid w:val="00591BAD"/>
    <w:rsid w:val="005A65F6"/>
    <w:rsid w:val="005B05D4"/>
    <w:rsid w:val="005C6C40"/>
    <w:rsid w:val="005F5282"/>
    <w:rsid w:val="00631AF9"/>
    <w:rsid w:val="0065244C"/>
    <w:rsid w:val="006552E2"/>
    <w:rsid w:val="00664C3E"/>
    <w:rsid w:val="006804B4"/>
    <w:rsid w:val="00694D0A"/>
    <w:rsid w:val="00695D2E"/>
    <w:rsid w:val="006B2579"/>
    <w:rsid w:val="006B675A"/>
    <w:rsid w:val="006C2702"/>
    <w:rsid w:val="006C3488"/>
    <w:rsid w:val="00705E7A"/>
    <w:rsid w:val="0071251E"/>
    <w:rsid w:val="00713A2F"/>
    <w:rsid w:val="00714A96"/>
    <w:rsid w:val="007246E3"/>
    <w:rsid w:val="007370CD"/>
    <w:rsid w:val="007375F5"/>
    <w:rsid w:val="00793133"/>
    <w:rsid w:val="007A2B97"/>
    <w:rsid w:val="007C0A5B"/>
    <w:rsid w:val="007C7515"/>
    <w:rsid w:val="007D2536"/>
    <w:rsid w:val="007E04C3"/>
    <w:rsid w:val="007E53B1"/>
    <w:rsid w:val="007F4A59"/>
    <w:rsid w:val="008018B7"/>
    <w:rsid w:val="00822F0E"/>
    <w:rsid w:val="00835141"/>
    <w:rsid w:val="008430CC"/>
    <w:rsid w:val="008573F3"/>
    <w:rsid w:val="00866739"/>
    <w:rsid w:val="00870303"/>
    <w:rsid w:val="00876DAA"/>
    <w:rsid w:val="008935EF"/>
    <w:rsid w:val="008A221D"/>
    <w:rsid w:val="008A3F22"/>
    <w:rsid w:val="008B0414"/>
    <w:rsid w:val="008B17CC"/>
    <w:rsid w:val="008B59A4"/>
    <w:rsid w:val="008C0222"/>
    <w:rsid w:val="008C1C0E"/>
    <w:rsid w:val="008C5B18"/>
    <w:rsid w:val="008D0F74"/>
    <w:rsid w:val="008F0612"/>
    <w:rsid w:val="00903A12"/>
    <w:rsid w:val="0093652A"/>
    <w:rsid w:val="00937673"/>
    <w:rsid w:val="00952906"/>
    <w:rsid w:val="0096398E"/>
    <w:rsid w:val="009725BC"/>
    <w:rsid w:val="0097654E"/>
    <w:rsid w:val="0098284D"/>
    <w:rsid w:val="0099085E"/>
    <w:rsid w:val="0099588F"/>
    <w:rsid w:val="009B5C26"/>
    <w:rsid w:val="009C121C"/>
    <w:rsid w:val="009C2AFC"/>
    <w:rsid w:val="009C7518"/>
    <w:rsid w:val="009D26AF"/>
    <w:rsid w:val="009E4162"/>
    <w:rsid w:val="009E6A96"/>
    <w:rsid w:val="009F4F3A"/>
    <w:rsid w:val="009F5A30"/>
    <w:rsid w:val="009F7556"/>
    <w:rsid w:val="00A17D8F"/>
    <w:rsid w:val="00A20067"/>
    <w:rsid w:val="00A3077F"/>
    <w:rsid w:val="00A412F7"/>
    <w:rsid w:val="00A523F4"/>
    <w:rsid w:val="00A574F0"/>
    <w:rsid w:val="00A71212"/>
    <w:rsid w:val="00A712EC"/>
    <w:rsid w:val="00A729AD"/>
    <w:rsid w:val="00A8279C"/>
    <w:rsid w:val="00A83FD8"/>
    <w:rsid w:val="00A9081B"/>
    <w:rsid w:val="00A90D3F"/>
    <w:rsid w:val="00A917EA"/>
    <w:rsid w:val="00AB213A"/>
    <w:rsid w:val="00AE458D"/>
    <w:rsid w:val="00AE6208"/>
    <w:rsid w:val="00AF2CB4"/>
    <w:rsid w:val="00B15E1E"/>
    <w:rsid w:val="00B226ED"/>
    <w:rsid w:val="00B228F0"/>
    <w:rsid w:val="00B246CA"/>
    <w:rsid w:val="00B406AA"/>
    <w:rsid w:val="00B55FFB"/>
    <w:rsid w:val="00B630F6"/>
    <w:rsid w:val="00B65ED3"/>
    <w:rsid w:val="00B67715"/>
    <w:rsid w:val="00B76B31"/>
    <w:rsid w:val="00B80D26"/>
    <w:rsid w:val="00B87B23"/>
    <w:rsid w:val="00BA0525"/>
    <w:rsid w:val="00BA1329"/>
    <w:rsid w:val="00BB1531"/>
    <w:rsid w:val="00BC50D3"/>
    <w:rsid w:val="00BD45C3"/>
    <w:rsid w:val="00BD4EC1"/>
    <w:rsid w:val="00BF7B8D"/>
    <w:rsid w:val="00C04EBF"/>
    <w:rsid w:val="00C378F1"/>
    <w:rsid w:val="00C42FED"/>
    <w:rsid w:val="00C455EA"/>
    <w:rsid w:val="00C51AA8"/>
    <w:rsid w:val="00C6340E"/>
    <w:rsid w:val="00C71803"/>
    <w:rsid w:val="00C80B2E"/>
    <w:rsid w:val="00C87914"/>
    <w:rsid w:val="00C96799"/>
    <w:rsid w:val="00CA4367"/>
    <w:rsid w:val="00CA6E17"/>
    <w:rsid w:val="00CB2E67"/>
    <w:rsid w:val="00CB320C"/>
    <w:rsid w:val="00CD0268"/>
    <w:rsid w:val="00CD41AA"/>
    <w:rsid w:val="00D51070"/>
    <w:rsid w:val="00D660D6"/>
    <w:rsid w:val="00D7559D"/>
    <w:rsid w:val="00DB64A7"/>
    <w:rsid w:val="00DB7C66"/>
    <w:rsid w:val="00DC3DEF"/>
    <w:rsid w:val="00DC62C1"/>
    <w:rsid w:val="00DC68B0"/>
    <w:rsid w:val="00DC78AA"/>
    <w:rsid w:val="00DD0FB5"/>
    <w:rsid w:val="00DD2B56"/>
    <w:rsid w:val="00DE3F65"/>
    <w:rsid w:val="00E06CBD"/>
    <w:rsid w:val="00E121E1"/>
    <w:rsid w:val="00E328A4"/>
    <w:rsid w:val="00E33D2A"/>
    <w:rsid w:val="00E36AD6"/>
    <w:rsid w:val="00E44E22"/>
    <w:rsid w:val="00E55107"/>
    <w:rsid w:val="00E7775F"/>
    <w:rsid w:val="00E841E0"/>
    <w:rsid w:val="00E87FAC"/>
    <w:rsid w:val="00E91CAC"/>
    <w:rsid w:val="00E9577F"/>
    <w:rsid w:val="00EA6C0B"/>
    <w:rsid w:val="00EA707C"/>
    <w:rsid w:val="00EB0426"/>
    <w:rsid w:val="00ED1AF1"/>
    <w:rsid w:val="00ED29F9"/>
    <w:rsid w:val="00EE3F52"/>
    <w:rsid w:val="00EE7060"/>
    <w:rsid w:val="00F07193"/>
    <w:rsid w:val="00F248D3"/>
    <w:rsid w:val="00F263B3"/>
    <w:rsid w:val="00F44914"/>
    <w:rsid w:val="00F52C18"/>
    <w:rsid w:val="00F7182C"/>
    <w:rsid w:val="00F84D3E"/>
    <w:rsid w:val="00F93416"/>
    <w:rsid w:val="00F94647"/>
    <w:rsid w:val="00F977DB"/>
    <w:rsid w:val="00FB3B86"/>
    <w:rsid w:val="00FC1B79"/>
    <w:rsid w:val="4A4E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paragraph" w:customStyle="1" w:styleId="11">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789</Words>
  <Characters>4498</Characters>
  <Lines>37</Lines>
  <Paragraphs>10</Paragraphs>
  <ScaleCrop>false</ScaleCrop>
  <LinksUpToDate>false</LinksUpToDate>
  <CharactersWithSpaces>5277</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2017-07-10T08:43:00Z</dcterms:created>
  <dc:creator>微软用户</dc:creator>
  <cp:lastModifiedBy>lilulu</cp:lastModifiedBy>
  <cp:lastPrinted>2016-11-23T07:14:00Z</cp:lastPrinted>
  <dcterms:modified xsi:type="dcterms:W3CDTF">2017-07-11T01:57:02Z</dcterms:modified>
  <dc:title>关于采购实验C楼多媒体讲桌的公告G2015029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