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center" w:pos="4476"/>
          <w:tab w:val="right" w:pos="8953"/>
        </w:tabs>
        <w:ind w:firstLine="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360" w:lineRule="auto"/>
        <w:rPr>
          <w:rFonts w:ascii="宋体" w:hAnsi="宋体"/>
          <w:b/>
          <w:color w:val="auto"/>
          <w:sz w:val="36"/>
        </w:rPr>
      </w:pPr>
    </w:p>
    <w:p>
      <w:pPr>
        <w:spacing w:line="360" w:lineRule="auto"/>
        <w:ind w:left="1260" w:leftChars="600" w:firstLine="723" w:firstLineChars="200"/>
        <w:jc w:val="left"/>
        <w:rPr>
          <w:rFonts w:ascii="宋体" w:hAnsi="宋体"/>
          <w:b/>
          <w:color w:val="auto"/>
          <w:sz w:val="30"/>
          <w:szCs w:val="30"/>
        </w:rPr>
      </w:pPr>
      <w:r>
        <w:rPr>
          <w:rFonts w:hint="eastAsia" w:ascii="宋体" w:hAnsi="宋体"/>
          <w:b/>
          <w:color w:val="auto"/>
          <w:sz w:val="36"/>
        </w:rPr>
        <w:t>项目名称：</w:t>
      </w:r>
      <w:r>
        <w:rPr>
          <w:rFonts w:hint="eastAsia" w:ascii="宋体" w:hAnsi="宋体"/>
          <w:b/>
          <w:color w:val="auto"/>
          <w:sz w:val="36"/>
          <w:u w:val="single"/>
        </w:rPr>
        <w:t xml:space="preserve"> </w:t>
      </w:r>
      <w:r>
        <w:rPr>
          <w:rFonts w:hint="eastAsia" w:ascii="宋体" w:hAnsi="宋体"/>
          <w:b/>
          <w:color w:val="auto"/>
          <w:sz w:val="36"/>
          <w:szCs w:val="36"/>
          <w:u w:val="single"/>
        </w:rPr>
        <w:t xml:space="preserve"> 建工学院GNSS接收机  </w:t>
      </w:r>
    </w:p>
    <w:p>
      <w:pPr>
        <w:spacing w:line="360" w:lineRule="auto"/>
        <w:ind w:left="1260" w:leftChars="6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rPr>
        <w:t xml:space="preserve">     </w:t>
      </w:r>
      <w:r>
        <w:rPr>
          <w:rFonts w:ascii="宋体" w:hAnsi="宋体"/>
          <w:b/>
          <w:color w:val="auto"/>
          <w:sz w:val="36"/>
          <w:u w:val="single"/>
        </w:rPr>
        <w:t>201</w:t>
      </w:r>
      <w:r>
        <w:rPr>
          <w:rFonts w:hint="eastAsia" w:ascii="宋体" w:hAnsi="宋体"/>
          <w:b/>
          <w:color w:val="auto"/>
          <w:sz w:val="36"/>
          <w:u w:val="single"/>
        </w:rPr>
        <w:t>9</w:t>
      </w:r>
      <w:r>
        <w:rPr>
          <w:rFonts w:ascii="宋体" w:hAnsi="宋体"/>
          <w:b/>
          <w:color w:val="auto"/>
          <w:sz w:val="36"/>
          <w:u w:val="single"/>
        </w:rPr>
        <w:t>-ZB-XC</w:t>
      </w:r>
      <w:r>
        <w:rPr>
          <w:rFonts w:hint="eastAsia" w:ascii="宋体" w:hAnsi="宋体"/>
          <w:b/>
          <w:color w:val="auto"/>
          <w:sz w:val="36"/>
          <w:u w:val="single"/>
        </w:rPr>
        <w:t xml:space="preserve">012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spacing w:line="360" w:lineRule="auto"/>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start="1"/>
          <w:cols w:space="720" w:num="1"/>
          <w:docGrid w:type="lines" w:linePitch="312" w:charSpace="0"/>
        </w:sectPr>
      </w:pPr>
    </w:p>
    <w:p>
      <w:pPr>
        <w:pStyle w:val="5"/>
        <w:spacing w:line="360" w:lineRule="auto"/>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rPr>
        <w:t xml:space="preserve"> 建工学院GNSS接收机 </w:t>
      </w:r>
      <w:r>
        <w:rPr>
          <w:rFonts w:ascii="Times New Roman" w:hAnsi="Times New Roman" w:cs="Times New Roman"/>
          <w:color w:val="auto"/>
          <w:sz w:val="21"/>
          <w:szCs w:val="21"/>
        </w:rPr>
        <w:t>项目组织公开招标，欢迎符合资格条件的单位前来投标。</w:t>
      </w:r>
    </w:p>
    <w:p>
      <w:pPr>
        <w:pStyle w:val="5"/>
        <w:spacing w:line="360" w:lineRule="auto"/>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rPr>
        <w:t>2019-ZB-XC012。</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建工学院GNSS接收机。</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项目预算：15万元。</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供货期：10个工作日。</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质保期：三年。</w:t>
      </w:r>
    </w:p>
    <w:p>
      <w:pPr>
        <w:pStyle w:val="5"/>
        <w:spacing w:line="360" w:lineRule="auto"/>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2、采购人根据采购项目的特殊要求规定的特定条件：无。</w:t>
      </w:r>
    </w:p>
    <w:p>
      <w:pPr>
        <w:spacing w:line="360" w:lineRule="auto"/>
        <w:ind w:firstLine="420" w:firstLineChars="200"/>
        <w:jc w:val="left"/>
        <w:rPr>
          <w:color w:val="auto"/>
          <w:kern w:val="0"/>
          <w:szCs w:val="21"/>
        </w:rPr>
      </w:pPr>
      <w:r>
        <w:rPr>
          <w:rFonts w:hint="eastAsia"/>
          <w:color w:val="auto"/>
          <w:kern w:val="0"/>
          <w:szCs w:val="21"/>
        </w:rPr>
        <w:t>3、投标人未被“信用中国”网站（</w:t>
      </w:r>
      <w:r>
        <w:rPr>
          <w:rFonts w:hint="eastAsia"/>
          <w:color w:val="auto"/>
          <w:kern w:val="0"/>
          <w:szCs w:val="21"/>
        </w:rPr>
        <w:fldChar w:fldCharType="begin"/>
      </w:r>
      <w:r>
        <w:rPr>
          <w:rFonts w:hint="eastAsia"/>
          <w:color w:val="auto"/>
          <w:kern w:val="0"/>
          <w:szCs w:val="21"/>
        </w:rPr>
        <w:instrText xml:space="preserve"> HYPERLINK "http://www.creditchina.gov.cn" </w:instrText>
      </w:r>
      <w:r>
        <w:rPr>
          <w:rFonts w:hint="eastAsia"/>
          <w:color w:val="auto"/>
          <w:kern w:val="0"/>
          <w:szCs w:val="21"/>
        </w:rPr>
        <w:fldChar w:fldCharType="separate"/>
      </w:r>
      <w:r>
        <w:rPr>
          <w:rStyle w:val="33"/>
          <w:rFonts w:hint="eastAsia"/>
          <w:color w:val="auto"/>
          <w:kern w:val="0"/>
          <w:szCs w:val="21"/>
        </w:rPr>
        <w:t>www.creditchina.gov.cn</w:t>
      </w:r>
      <w:r>
        <w:rPr>
          <w:rFonts w:hint="eastAsia"/>
          <w:color w:val="auto"/>
          <w:kern w:val="0"/>
          <w:szCs w:val="21"/>
        </w:rPr>
        <w:fldChar w:fldCharType="end"/>
      </w:r>
      <w:r>
        <w:rPr>
          <w:rFonts w:hint="eastAsia"/>
          <w:color w:val="auto"/>
          <w:kern w:val="0"/>
          <w:szCs w:val="21"/>
        </w:rPr>
        <w:t>）列入失信执行人、重大税收违法案件当事人名单、政府采购严重违法失信行为记录名单，请提供信用查询截图。</w:t>
      </w:r>
    </w:p>
    <w:p>
      <w:pPr>
        <w:spacing w:line="360" w:lineRule="auto"/>
        <w:ind w:firstLine="420" w:firstLineChars="200"/>
        <w:jc w:val="left"/>
        <w:rPr>
          <w:color w:val="auto"/>
          <w:szCs w:val="21"/>
        </w:rPr>
      </w:pPr>
      <w:r>
        <w:rPr>
          <w:rFonts w:hint="eastAsia"/>
          <w:color w:val="auto"/>
          <w:kern w:val="0"/>
          <w:szCs w:val="21"/>
        </w:rPr>
        <w:t>4、本项目不接受联合体投标。</w:t>
      </w:r>
    </w:p>
    <w:bookmarkEnd w:id="5"/>
    <w:p>
      <w:pPr>
        <w:pStyle w:val="5"/>
        <w:spacing w:line="360" w:lineRule="auto"/>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有意投标的投标人请在2019年</w:t>
      </w:r>
      <w:r>
        <w:rPr>
          <w:rFonts w:hint="eastAsia"/>
          <w:color w:val="auto"/>
          <w:lang w:val="en-US" w:eastAsia="zh-CN"/>
        </w:rPr>
        <w:t>6</w:t>
      </w:r>
      <w:r>
        <w:rPr>
          <w:rFonts w:hint="eastAsia"/>
          <w:color w:val="auto"/>
        </w:rPr>
        <w:t>月</w:t>
      </w:r>
      <w:r>
        <w:rPr>
          <w:rFonts w:hint="eastAsia"/>
          <w:color w:val="auto"/>
          <w:lang w:val="en-US" w:eastAsia="zh-CN"/>
        </w:rPr>
        <w:t>19</w:t>
      </w:r>
      <w:r>
        <w:rPr>
          <w:rFonts w:hint="eastAsia"/>
          <w:color w:val="auto"/>
        </w:rPr>
        <w:t>日下午16：00前发送单位名称、联系人、联系电话及项目编号和项目名称到</w:t>
      </w:r>
      <w:r>
        <w:rPr>
          <w:color w:val="auto"/>
        </w:rPr>
        <w:t>2448775794@qq.com</w:t>
      </w:r>
      <w:r>
        <w:rPr>
          <w:rFonts w:hint="eastAsia"/>
          <w:color w:val="auto"/>
        </w:rPr>
        <w:t>邮箱中，并在邮件标题中注明“建工学院GNSS接收机”。</w:t>
      </w:r>
    </w:p>
    <w:p>
      <w:pPr>
        <w:spacing w:line="360" w:lineRule="auto"/>
        <w:ind w:firstLine="422" w:firstLineChars="200"/>
        <w:rPr>
          <w:b/>
          <w:bCs/>
          <w:color w:val="auto"/>
        </w:rPr>
      </w:pPr>
      <w:r>
        <w:rPr>
          <w:rFonts w:hint="eastAsia"/>
          <w:b/>
          <w:bCs/>
          <w:color w:val="auto"/>
        </w:rPr>
        <w:t>凡未按要求报名者，学校不接受其投标。</w:t>
      </w:r>
    </w:p>
    <w:p>
      <w:pPr>
        <w:pStyle w:val="5"/>
        <w:spacing w:line="360" w:lineRule="auto"/>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rPr>
        <w:t>4</w:t>
      </w:r>
      <w:r>
        <w:rPr>
          <w:rFonts w:ascii="Times New Roman" w:hAnsi="Times New Roman"/>
          <w:color w:val="auto"/>
          <w:sz w:val="21"/>
          <w:szCs w:val="21"/>
        </w:rPr>
        <w:t>招标文件获取</w:t>
      </w:r>
      <w:bookmarkEnd w:id="6"/>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江苏开放大学首页下方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"http://www.jsou.cn/" </w:instrText>
      </w:r>
      <w:r>
        <w:rPr>
          <w:color w:val="auto"/>
        </w:rPr>
        <w:fldChar w:fldCharType="separate"/>
      </w:r>
      <w:r>
        <w:rPr>
          <w:rStyle w:val="33"/>
          <w:rFonts w:hint="eastAsia" w:ascii="Times New Roman" w:hAnsi="Times New Roman" w:cs="Times New Roman"/>
          <w:color w:val="auto"/>
          <w:sz w:val="21"/>
          <w:szCs w:val="21"/>
        </w:rPr>
        <w:t>http://www.jsou.cn/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color w:val="auto"/>
        </w:rPr>
      </w:pPr>
    </w:p>
    <w:p>
      <w:pPr>
        <w:pStyle w:val="5"/>
        <w:spacing w:line="360" w:lineRule="auto"/>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rPr>
        <w:t>5</w:t>
      </w:r>
      <w:r>
        <w:rPr>
          <w:rFonts w:ascii="Times New Roman" w:hAnsi="Times New Roman"/>
          <w:color w:val="auto"/>
          <w:sz w:val="21"/>
          <w:szCs w:val="21"/>
        </w:rPr>
        <w:t>投标文件递交</w:t>
      </w:r>
      <w:bookmarkEnd w:id="7"/>
    </w:p>
    <w:p>
      <w:pPr>
        <w:pStyle w:val="25"/>
        <w:spacing w:before="0" w:beforeAutospacing="0" w:after="0" w:afterAutospacing="0" w:line="360" w:lineRule="auto"/>
        <w:ind w:firstLine="420"/>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2019年</w:t>
      </w:r>
      <w:r>
        <w:rPr>
          <w:rFonts w:hint="eastAsia" w:ascii="Times New Roman" w:hAnsi="Times New Roman" w:cs="Times New Roman"/>
          <w:color w:val="auto"/>
          <w:sz w:val="21"/>
          <w:szCs w:val="21"/>
          <w:lang w:val="en-US" w:eastAsia="zh-CN"/>
        </w:rPr>
        <w:t>6</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四</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下午14:30。</w:t>
      </w:r>
    </w:p>
    <w:p>
      <w:pPr>
        <w:pStyle w:val="25"/>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6</w:t>
      </w:r>
      <w:r>
        <w:rPr>
          <w:rFonts w:ascii="Times New Roman" w:hAnsi="Times New Roman"/>
          <w:color w:val="auto"/>
          <w:sz w:val="21"/>
          <w:szCs w:val="21"/>
        </w:rPr>
        <w:t>开标时间及地点</w:t>
      </w:r>
      <w:bookmarkEnd w:id="8"/>
    </w:p>
    <w:p>
      <w:pPr>
        <w:pStyle w:val="25"/>
        <w:spacing w:before="0" w:beforeAutospacing="0" w:after="0" w:afterAutospacing="0" w:line="360" w:lineRule="auto"/>
        <w:ind w:firstLine="420"/>
        <w:rPr>
          <w:rFonts w:ascii="Times New Roman" w:hAnsi="Times New Roman" w:cs="Times New Roman"/>
          <w:color w:val="auto"/>
          <w:sz w:val="21"/>
          <w:szCs w:val="21"/>
        </w:rPr>
      </w:pPr>
      <w:r>
        <w:rPr>
          <w:rStyle w:val="31"/>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2019年</w:t>
      </w:r>
      <w:r>
        <w:rPr>
          <w:rFonts w:hint="eastAsia" w:ascii="Times New Roman" w:hAnsi="Times New Roman" w:cs="Times New Roman"/>
          <w:color w:val="auto"/>
          <w:sz w:val="21"/>
          <w:szCs w:val="21"/>
          <w:lang w:val="en-US" w:eastAsia="zh-CN"/>
        </w:rPr>
        <w:t>6</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四</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下午14:30。</w:t>
      </w:r>
    </w:p>
    <w:p>
      <w:pPr>
        <w:pStyle w:val="25"/>
        <w:spacing w:before="0" w:beforeAutospacing="0" w:after="0" w:afterAutospacing="0" w:line="360" w:lineRule="auto"/>
        <w:ind w:firstLine="420" w:firstLineChars="200"/>
        <w:rPr>
          <w:rFonts w:ascii="Times New Roman" w:hAnsi="Times New Roman" w:cs="Times New Roman"/>
          <w:color w:val="auto"/>
          <w:sz w:val="21"/>
          <w:szCs w:val="21"/>
        </w:rPr>
      </w:pPr>
      <w:r>
        <w:rPr>
          <w:rStyle w:val="31"/>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rPr>
        <w:t>7</w:t>
      </w:r>
      <w:r>
        <w:rPr>
          <w:rFonts w:ascii="Times New Roman" w:hAnsi="Times New Roman"/>
          <w:color w:val="auto"/>
          <w:sz w:val="21"/>
          <w:szCs w:val="21"/>
        </w:rPr>
        <w:t>发布公告媒介</w:t>
      </w:r>
      <w:bookmarkEnd w:id="9"/>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江苏开放大学首页下方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"http://www.jsou.cn/" </w:instrText>
      </w:r>
      <w:r>
        <w:rPr>
          <w:color w:val="auto"/>
        </w:rPr>
        <w:fldChar w:fldCharType="separate"/>
      </w:r>
      <w:r>
        <w:rPr>
          <w:rStyle w:val="33"/>
          <w:rFonts w:hint="eastAsia" w:ascii="Times New Roman" w:hAnsi="Times New Roman" w:cs="Times New Roman"/>
          <w:color w:val="auto"/>
          <w:sz w:val="21"/>
          <w:szCs w:val="21"/>
        </w:rPr>
        <w:t>http://www.jsou.cn/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spacing w:line="360" w:lineRule="auto"/>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联系人：徐老师</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联系电话：13951915879</w:t>
      </w:r>
    </w:p>
    <w:p>
      <w:pPr>
        <w:pStyle w:val="25"/>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5"/>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5"/>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5"/>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5"/>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5"/>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spacing w:line="360" w:lineRule="auto"/>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5"/>
        <w:spacing w:before="0" w:beforeAutospacing="0" w:after="150" w:afterAutospacing="0" w:line="360" w:lineRule="auto"/>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spacing w:line="360" w:lineRule="auto"/>
        <w:rPr>
          <w:rFonts w:ascii="Times New Roman" w:hAnsi="Times New Roman"/>
          <w:color w:val="auto"/>
          <w:sz w:val="21"/>
          <w:szCs w:val="21"/>
        </w:rPr>
      </w:pPr>
      <w:bookmarkStart w:id="12" w:name="_Toc384844734"/>
      <w:bookmarkStart w:id="13" w:name="_Toc455914605"/>
      <w:bookmarkStart w:id="14" w:name="_Toc386980211"/>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spacing w:line="360" w:lineRule="auto"/>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w:t>
      </w:r>
      <w:r>
        <w:rPr>
          <w:rFonts w:hint="eastAsia" w:ascii="Times New Roman" w:hAnsi="Times New Roman"/>
          <w:color w:val="auto"/>
          <w:szCs w:val="21"/>
        </w:rPr>
        <w:t>后包装于一个密封袋内，</w:t>
      </w:r>
      <w:r>
        <w:rPr>
          <w:rFonts w:ascii="Times New Roman" w:hAnsi="Times New Roman"/>
          <w:color w:val="auto"/>
          <w:szCs w:val="21"/>
        </w:rPr>
        <w:t>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spacing w:line="360" w:lineRule="auto"/>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386980213"/>
      <w:bookmarkStart w:id="18" w:name="_Toc455914608"/>
      <w:bookmarkStart w:id="19" w:name="_Toc384844736"/>
      <w:r>
        <w:rPr>
          <w:rFonts w:hint="eastAsia" w:ascii="Times New Roman" w:hAnsi="Times New Roman"/>
          <w:color w:val="auto"/>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bookmarkEnd w:id="17"/>
    <w:bookmarkEnd w:id="18"/>
    <w:bookmarkEnd w:id="19"/>
    <w:p>
      <w:pPr>
        <w:pStyle w:val="5"/>
        <w:spacing w:line="360" w:lineRule="auto"/>
        <w:rPr>
          <w:rFonts w:ascii="Times New Roman" w:hAnsi="Times New Roman"/>
          <w:color w:val="auto"/>
          <w:sz w:val="21"/>
          <w:szCs w:val="21"/>
        </w:rPr>
      </w:pPr>
      <w:bookmarkStart w:id="20" w:name="_Toc384844737"/>
      <w:bookmarkStart w:id="21" w:name="_Toc386980214"/>
      <w:bookmarkStart w:id="22" w:name="_Toc455914609"/>
      <w:r>
        <w:rPr>
          <w:rFonts w:hint="eastAsia" w:ascii="Times New Roman" w:hAnsi="Times New Roman"/>
          <w:color w:val="auto"/>
          <w:sz w:val="21"/>
          <w:szCs w:val="21"/>
        </w:rPr>
        <w:t>2.4评标与定标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left="420" w:leftChars="200"/>
        <w:rPr>
          <w:rFonts w:ascii="Times New Roman" w:hAnsi="Times New Roman"/>
          <w:color w:val="auto"/>
          <w:szCs w:val="21"/>
        </w:rPr>
      </w:pPr>
      <w:r>
        <w:rPr>
          <w:rFonts w:hint="eastAsia" w:ascii="Times New Roman" w:hAnsi="Times New Roman"/>
          <w:color w:val="auto"/>
          <w:szCs w:val="21"/>
        </w:rPr>
        <w:t xml:space="preserve">2、本次招标采用 </w:t>
      </w:r>
      <w:r>
        <w:rPr>
          <w:rFonts w:hint="eastAsia" w:ascii="Times New Roman" w:hAnsi="Times New Roman"/>
          <w:color w:val="auto"/>
          <w:szCs w:val="21"/>
          <w:u w:val="single"/>
        </w:rPr>
        <w:t>综合评分法</w:t>
      </w:r>
      <w:r>
        <w:rPr>
          <w:rFonts w:hint="eastAsia" w:ascii="Times New Roman" w:hAnsi="Times New Roman"/>
          <w:color w:val="auto"/>
          <w:szCs w:val="21"/>
        </w:rPr>
        <w:t>，</w:t>
      </w:r>
      <w:r>
        <w:rPr>
          <w:rFonts w:ascii="Times New Roman" w:hAnsi="Times New Roman"/>
          <w:color w:val="auto"/>
          <w:szCs w:val="21"/>
        </w:rPr>
        <w:t>即在最大限度地满足招标文件实质性要求</w:t>
      </w:r>
      <w:r>
        <w:rPr>
          <w:rFonts w:hint="eastAsia" w:ascii="Times New Roman" w:hAnsi="Times New Roman"/>
          <w:color w:val="auto"/>
          <w:szCs w:val="21"/>
        </w:rPr>
        <w:t>的</w:t>
      </w:r>
      <w:r>
        <w:rPr>
          <w:rFonts w:ascii="Times New Roman" w:hAnsi="Times New Roman"/>
          <w:color w:val="auto"/>
          <w:szCs w:val="21"/>
        </w:rPr>
        <w:t>前提下，按照招标文件中规定的各项因素进行综合评审后，以评标总得分最高的投标人作为中标候选供应商或者中标供应商的评标方法。</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3、评分规则：</w:t>
      </w:r>
    </w:p>
    <w:tbl>
      <w:tblPr>
        <w:tblStyle w:val="28"/>
        <w:tblW w:w="9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91"/>
        <w:gridCol w:w="7350"/>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61" w:type="dxa"/>
            <w:vAlign w:val="center"/>
          </w:tcPr>
          <w:p>
            <w:pPr>
              <w:jc w:val="center"/>
              <w:rPr>
                <w:b/>
                <w:bCs/>
                <w:color w:val="auto"/>
                <w:kern w:val="0"/>
                <w:szCs w:val="21"/>
              </w:rPr>
            </w:pPr>
            <w:r>
              <w:rPr>
                <w:b/>
                <w:bCs/>
                <w:color w:val="auto"/>
                <w:kern w:val="0"/>
                <w:szCs w:val="21"/>
              </w:rPr>
              <w:t>序号</w:t>
            </w:r>
          </w:p>
        </w:tc>
        <w:tc>
          <w:tcPr>
            <w:tcW w:w="1091" w:type="dxa"/>
            <w:vAlign w:val="center"/>
          </w:tcPr>
          <w:p>
            <w:pPr>
              <w:jc w:val="center"/>
              <w:rPr>
                <w:b/>
                <w:bCs/>
                <w:color w:val="auto"/>
                <w:szCs w:val="21"/>
              </w:rPr>
            </w:pPr>
            <w:r>
              <w:rPr>
                <w:b/>
                <w:bCs/>
                <w:color w:val="auto"/>
                <w:kern w:val="0"/>
                <w:szCs w:val="21"/>
              </w:rPr>
              <w:t>评分因素</w:t>
            </w:r>
          </w:p>
        </w:tc>
        <w:tc>
          <w:tcPr>
            <w:tcW w:w="7350" w:type="dxa"/>
            <w:vAlign w:val="center"/>
          </w:tcPr>
          <w:p>
            <w:pPr>
              <w:jc w:val="center"/>
              <w:rPr>
                <w:b/>
                <w:bCs/>
                <w:color w:val="auto"/>
                <w:szCs w:val="21"/>
              </w:rPr>
            </w:pPr>
            <w:r>
              <w:rPr>
                <w:b/>
                <w:bCs/>
                <w:color w:val="auto"/>
                <w:kern w:val="0"/>
                <w:szCs w:val="21"/>
              </w:rPr>
              <w:t>评审标准</w:t>
            </w:r>
          </w:p>
        </w:tc>
        <w:tc>
          <w:tcPr>
            <w:tcW w:w="659" w:type="dxa"/>
            <w:vAlign w:val="center"/>
          </w:tcPr>
          <w:p>
            <w:pPr>
              <w:jc w:val="center"/>
              <w:rPr>
                <w:b/>
                <w:bCs/>
                <w:color w:val="auto"/>
                <w:szCs w:val="21"/>
              </w:rPr>
            </w:pPr>
            <w:r>
              <w:rPr>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661" w:type="dxa"/>
            <w:vAlign w:val="center"/>
          </w:tcPr>
          <w:p>
            <w:pPr>
              <w:jc w:val="center"/>
              <w:rPr>
                <w:rFonts w:eastAsiaTheme="minorEastAsia"/>
                <w:color w:val="auto"/>
                <w:kern w:val="0"/>
                <w:szCs w:val="21"/>
              </w:rPr>
            </w:pPr>
            <w:r>
              <w:rPr>
                <w:rFonts w:eastAsiaTheme="minorEastAsia"/>
                <w:color w:val="auto"/>
                <w:kern w:val="0"/>
                <w:szCs w:val="21"/>
              </w:rPr>
              <w:t>1</w:t>
            </w:r>
          </w:p>
        </w:tc>
        <w:tc>
          <w:tcPr>
            <w:tcW w:w="1091" w:type="dxa"/>
            <w:vAlign w:val="center"/>
          </w:tcPr>
          <w:p>
            <w:pPr>
              <w:jc w:val="center"/>
              <w:rPr>
                <w:rFonts w:eastAsiaTheme="minorEastAsia"/>
                <w:color w:val="auto"/>
                <w:kern w:val="0"/>
                <w:szCs w:val="21"/>
              </w:rPr>
            </w:pPr>
            <w:r>
              <w:rPr>
                <w:rFonts w:eastAsiaTheme="minorEastAsia"/>
                <w:bCs/>
                <w:color w:val="auto"/>
                <w:kern w:val="0"/>
                <w:szCs w:val="21"/>
              </w:rPr>
              <w:t>投标报价</w:t>
            </w:r>
          </w:p>
        </w:tc>
        <w:tc>
          <w:tcPr>
            <w:tcW w:w="7350" w:type="dxa"/>
            <w:vAlign w:val="center"/>
          </w:tcPr>
          <w:p>
            <w:pPr>
              <w:spacing w:line="400" w:lineRule="exact"/>
              <w:rPr>
                <w:bCs/>
                <w:color w:val="auto"/>
                <w:kern w:val="0"/>
                <w:szCs w:val="21"/>
              </w:rPr>
            </w:pPr>
            <w:r>
              <w:rPr>
                <w:rFonts w:eastAsiaTheme="minorEastAsia"/>
                <w:bCs/>
                <w:color w:val="auto"/>
                <w:kern w:val="0"/>
                <w:szCs w:val="21"/>
              </w:rPr>
              <w:t>采用低价优先法计算，即满足招标文件要求且投标价格最低的投标报价为评标基准价，其价格分为满分。其他投标人的价格分按照下列公式计算（小数点保留两位）：投标报价得分= (评标基准价／投标报价)×</w:t>
            </w:r>
            <w:r>
              <w:rPr>
                <w:rFonts w:hint="eastAsia" w:eastAsiaTheme="minorEastAsia"/>
                <w:bCs/>
                <w:color w:val="auto"/>
                <w:kern w:val="0"/>
                <w:szCs w:val="21"/>
              </w:rPr>
              <w:t>3</w:t>
            </w:r>
            <w:r>
              <w:rPr>
                <w:rFonts w:hint="eastAsia" w:eastAsiaTheme="minorEastAsia"/>
                <w:bCs/>
                <w:color w:val="auto"/>
                <w:kern w:val="0"/>
                <w:szCs w:val="21"/>
                <w:lang w:val="en-US" w:eastAsia="zh-CN"/>
              </w:rPr>
              <w:t>5</w:t>
            </w:r>
            <w:r>
              <w:rPr>
                <w:rFonts w:eastAsiaTheme="minorEastAsia"/>
                <w:bCs/>
                <w:color w:val="auto"/>
                <w:kern w:val="0"/>
                <w:szCs w:val="21"/>
              </w:rPr>
              <w:t>。</w:t>
            </w:r>
          </w:p>
        </w:tc>
        <w:tc>
          <w:tcPr>
            <w:tcW w:w="659" w:type="dxa"/>
            <w:vAlign w:val="center"/>
          </w:tcPr>
          <w:p>
            <w:pPr>
              <w:jc w:val="center"/>
              <w:rPr>
                <w:rFonts w:hint="eastAsia" w:eastAsiaTheme="minorEastAsia"/>
                <w:b/>
                <w:bCs/>
                <w:color w:val="auto"/>
                <w:kern w:val="0"/>
                <w:szCs w:val="21"/>
                <w:lang w:eastAsia="zh-CN"/>
              </w:rPr>
            </w:pPr>
            <w:r>
              <w:rPr>
                <w:rFonts w:hint="eastAsia" w:eastAsiaTheme="minorEastAsia"/>
                <w:color w:val="auto"/>
                <w:kern w:val="0"/>
                <w:szCs w:val="21"/>
              </w:rPr>
              <w:t>3</w:t>
            </w:r>
            <w:r>
              <w:rPr>
                <w:rFonts w:hint="eastAsia" w:eastAsiaTheme="minorEastAsia"/>
                <w:color w:val="auto"/>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661" w:type="dxa"/>
            <w:vAlign w:val="center"/>
          </w:tcPr>
          <w:p>
            <w:pPr>
              <w:jc w:val="center"/>
              <w:rPr>
                <w:rFonts w:eastAsiaTheme="minorEastAsia"/>
                <w:color w:val="auto"/>
                <w:kern w:val="0"/>
                <w:szCs w:val="21"/>
              </w:rPr>
            </w:pPr>
            <w:r>
              <w:rPr>
                <w:rFonts w:hint="eastAsia" w:eastAsiaTheme="minorEastAsia"/>
                <w:color w:val="auto"/>
                <w:szCs w:val="21"/>
              </w:rPr>
              <w:t>2</w:t>
            </w:r>
          </w:p>
        </w:tc>
        <w:tc>
          <w:tcPr>
            <w:tcW w:w="1091" w:type="dxa"/>
            <w:vAlign w:val="center"/>
          </w:tcPr>
          <w:p>
            <w:pPr>
              <w:jc w:val="center"/>
              <w:rPr>
                <w:rFonts w:eastAsiaTheme="minorEastAsia"/>
                <w:bCs/>
                <w:color w:val="auto"/>
                <w:kern w:val="0"/>
                <w:szCs w:val="21"/>
              </w:rPr>
            </w:pPr>
            <w:r>
              <w:rPr>
                <w:rFonts w:hint="eastAsia" w:eastAsiaTheme="minorEastAsia"/>
                <w:bCs/>
                <w:color w:val="auto"/>
                <w:kern w:val="0"/>
                <w:szCs w:val="21"/>
              </w:rPr>
              <w:t>技术指标</w:t>
            </w:r>
          </w:p>
        </w:tc>
        <w:tc>
          <w:tcPr>
            <w:tcW w:w="7350" w:type="dxa"/>
            <w:vAlign w:val="center"/>
          </w:tcPr>
          <w:p>
            <w:pPr>
              <w:spacing w:line="400" w:lineRule="exact"/>
              <w:rPr>
                <w:color w:val="auto"/>
                <w:szCs w:val="21"/>
              </w:rPr>
            </w:pPr>
            <w:r>
              <w:rPr>
                <w:rFonts w:hint="eastAsia" w:ascii="宋体" w:hAnsi="宋体" w:cs="宋体"/>
                <w:color w:val="auto"/>
                <w:szCs w:val="21"/>
              </w:rPr>
              <w:t>★</w:t>
            </w:r>
            <w:r>
              <w:rPr>
                <w:rFonts w:hint="eastAsia"/>
                <w:color w:val="auto"/>
                <w:szCs w:val="21"/>
              </w:rPr>
              <w:t>项为必须满足项，不可偏离，否则投标无效。</w:t>
            </w:r>
          </w:p>
          <w:p>
            <w:pPr>
              <w:spacing w:line="400" w:lineRule="exact"/>
              <w:rPr>
                <w:rFonts w:hint="eastAsia"/>
                <w:color w:val="auto"/>
                <w:szCs w:val="21"/>
              </w:rPr>
            </w:pPr>
            <w:r>
              <w:rPr>
                <w:rFonts w:hint="eastAsia"/>
                <w:color w:val="auto"/>
                <w:szCs w:val="21"/>
              </w:rPr>
              <w:t>其他选项全部满足招标文件技术参数要求的，得</w:t>
            </w:r>
            <w:r>
              <w:rPr>
                <w:rFonts w:hint="eastAsia"/>
                <w:color w:val="auto"/>
                <w:szCs w:val="21"/>
                <w:lang w:val="en-US" w:eastAsia="zh-CN"/>
              </w:rPr>
              <w:t>30</w:t>
            </w:r>
            <w:r>
              <w:rPr>
                <w:rFonts w:hint="eastAsia"/>
                <w:color w:val="auto"/>
                <w:szCs w:val="21"/>
              </w:rPr>
              <w:t>分；</w:t>
            </w:r>
          </w:p>
          <w:p>
            <w:pPr>
              <w:spacing w:line="400" w:lineRule="exact"/>
              <w:rPr>
                <w:rFonts w:hint="eastAsia" w:eastAsia="宋体"/>
                <w:color w:val="auto"/>
                <w:szCs w:val="21"/>
                <w:lang w:eastAsia="zh-CN"/>
              </w:rPr>
            </w:pPr>
            <w:r>
              <w:rPr>
                <w:rFonts w:hint="eastAsia"/>
                <w:color w:val="auto"/>
                <w:szCs w:val="21"/>
              </w:rPr>
              <w:t>有一项负偏离扣</w:t>
            </w:r>
            <w:r>
              <w:rPr>
                <w:rFonts w:hint="eastAsia"/>
                <w:color w:val="auto"/>
                <w:szCs w:val="21"/>
                <w:lang w:val="en-US" w:eastAsia="zh-CN"/>
              </w:rPr>
              <w:t>2</w:t>
            </w:r>
            <w:r>
              <w:rPr>
                <w:rFonts w:hint="eastAsia"/>
                <w:color w:val="auto"/>
                <w:szCs w:val="21"/>
              </w:rPr>
              <w:t>分，扣完为止</w:t>
            </w:r>
            <w:r>
              <w:rPr>
                <w:rFonts w:hint="eastAsia"/>
                <w:color w:val="auto"/>
                <w:szCs w:val="21"/>
                <w:lang w:eastAsia="zh-CN"/>
              </w:rPr>
              <w:t>。</w:t>
            </w:r>
          </w:p>
        </w:tc>
        <w:tc>
          <w:tcPr>
            <w:tcW w:w="659" w:type="dxa"/>
            <w:vAlign w:val="center"/>
          </w:tcPr>
          <w:p>
            <w:pPr>
              <w:spacing w:line="280" w:lineRule="exact"/>
              <w:jc w:val="center"/>
              <w:rPr>
                <w:rFonts w:hint="eastAsia" w:eastAsiaTheme="minorEastAsia"/>
                <w:color w:val="auto"/>
                <w:kern w:val="0"/>
                <w:szCs w:val="21"/>
                <w:lang w:eastAsia="zh-CN"/>
              </w:rPr>
            </w:pPr>
            <w:r>
              <w:rPr>
                <w:rFonts w:hint="eastAsia" w:eastAsiaTheme="minorEastAsia"/>
                <w:color w:val="auto"/>
                <w:szCs w:val="21"/>
              </w:rPr>
              <w:t>3</w:t>
            </w:r>
            <w:r>
              <w:rPr>
                <w:rFonts w:hint="eastAsia" w:eastAsiaTheme="minorEastAsia"/>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661" w:type="dxa"/>
            <w:vAlign w:val="center"/>
          </w:tcPr>
          <w:p>
            <w:pPr>
              <w:jc w:val="center"/>
              <w:rPr>
                <w:rFonts w:eastAsiaTheme="minorEastAsia"/>
                <w:color w:val="auto"/>
                <w:kern w:val="0"/>
                <w:szCs w:val="21"/>
              </w:rPr>
            </w:pPr>
            <w:r>
              <w:rPr>
                <w:rFonts w:hint="eastAsia" w:eastAsiaTheme="minorEastAsia"/>
                <w:color w:val="auto"/>
                <w:szCs w:val="21"/>
              </w:rPr>
              <w:t>3</w:t>
            </w:r>
          </w:p>
        </w:tc>
        <w:tc>
          <w:tcPr>
            <w:tcW w:w="1091" w:type="dxa"/>
            <w:vAlign w:val="center"/>
          </w:tcPr>
          <w:p>
            <w:pPr>
              <w:jc w:val="center"/>
              <w:rPr>
                <w:bCs/>
                <w:color w:val="auto"/>
                <w:kern w:val="0"/>
                <w:szCs w:val="21"/>
              </w:rPr>
            </w:pPr>
            <w:r>
              <w:rPr>
                <w:rFonts w:hint="eastAsia" w:eastAsiaTheme="minorEastAsia"/>
                <w:color w:val="auto"/>
                <w:szCs w:val="21"/>
              </w:rPr>
              <w:t>企业</w:t>
            </w:r>
            <w:r>
              <w:rPr>
                <w:rFonts w:eastAsiaTheme="minorEastAsia"/>
                <w:color w:val="auto"/>
                <w:szCs w:val="21"/>
              </w:rPr>
              <w:t>业绩</w:t>
            </w:r>
          </w:p>
        </w:tc>
        <w:tc>
          <w:tcPr>
            <w:tcW w:w="7350" w:type="dxa"/>
            <w:vAlign w:val="center"/>
          </w:tcPr>
          <w:p>
            <w:pPr>
              <w:spacing w:line="400" w:lineRule="exact"/>
              <w:rPr>
                <w:rFonts w:eastAsiaTheme="minorEastAsia"/>
                <w:bCs/>
                <w:color w:val="auto"/>
                <w:kern w:val="0"/>
                <w:szCs w:val="21"/>
              </w:rPr>
            </w:pPr>
            <w:r>
              <w:rPr>
                <w:color w:val="auto"/>
                <w:szCs w:val="21"/>
              </w:rPr>
              <w:t>根据投标人提供的</w:t>
            </w:r>
            <w:r>
              <w:rPr>
                <w:rFonts w:hint="eastAsia"/>
                <w:color w:val="auto"/>
                <w:szCs w:val="21"/>
              </w:rPr>
              <w:t>2016年以来承担过高校类似</w:t>
            </w:r>
            <w:r>
              <w:rPr>
                <w:color w:val="auto"/>
                <w:szCs w:val="21"/>
              </w:rPr>
              <w:t>项目的相关业绩证明（</w:t>
            </w:r>
            <w:r>
              <w:rPr>
                <w:rFonts w:hint="eastAsia"/>
                <w:color w:val="auto"/>
                <w:szCs w:val="21"/>
              </w:rPr>
              <w:t>需</w:t>
            </w:r>
            <w:r>
              <w:rPr>
                <w:color w:val="auto"/>
                <w:szCs w:val="21"/>
              </w:rPr>
              <w:t>提供合同复印件</w:t>
            </w:r>
            <w:r>
              <w:rPr>
                <w:rFonts w:hint="eastAsia"/>
                <w:color w:val="auto"/>
                <w:szCs w:val="21"/>
              </w:rPr>
              <w:t>，原件备查</w:t>
            </w:r>
            <w:r>
              <w:rPr>
                <w:color w:val="auto"/>
                <w:szCs w:val="21"/>
              </w:rPr>
              <w:t>）打分，</w:t>
            </w:r>
            <w:r>
              <w:rPr>
                <w:rFonts w:hint="eastAsia"/>
                <w:color w:val="auto"/>
                <w:szCs w:val="21"/>
              </w:rPr>
              <w:t>每份</w:t>
            </w:r>
            <w:r>
              <w:rPr>
                <w:color w:val="auto"/>
                <w:szCs w:val="21"/>
              </w:rPr>
              <w:t>合同</w:t>
            </w:r>
            <w:r>
              <w:rPr>
                <w:rFonts w:hint="eastAsia"/>
                <w:color w:val="auto"/>
                <w:szCs w:val="21"/>
              </w:rPr>
              <w:t>2</w:t>
            </w:r>
            <w:r>
              <w:rPr>
                <w:color w:val="auto"/>
                <w:szCs w:val="21"/>
              </w:rPr>
              <w:t>分，</w:t>
            </w:r>
            <w:r>
              <w:rPr>
                <w:rFonts w:hint="eastAsia"/>
                <w:color w:val="auto"/>
                <w:szCs w:val="21"/>
              </w:rPr>
              <w:t>10</w:t>
            </w:r>
            <w:r>
              <w:rPr>
                <w:color w:val="auto"/>
                <w:szCs w:val="21"/>
              </w:rPr>
              <w:t>分</w:t>
            </w:r>
            <w:r>
              <w:rPr>
                <w:rFonts w:hint="eastAsia"/>
                <w:color w:val="auto"/>
                <w:szCs w:val="21"/>
              </w:rPr>
              <w:t>封顶</w:t>
            </w:r>
            <w:r>
              <w:rPr>
                <w:color w:val="auto"/>
                <w:szCs w:val="21"/>
              </w:rPr>
              <w:t>。</w:t>
            </w:r>
          </w:p>
        </w:tc>
        <w:tc>
          <w:tcPr>
            <w:tcW w:w="659" w:type="dxa"/>
            <w:vAlign w:val="center"/>
          </w:tcPr>
          <w:p>
            <w:pPr>
              <w:spacing w:line="280" w:lineRule="exact"/>
              <w:jc w:val="center"/>
              <w:rPr>
                <w:rFonts w:eastAsiaTheme="minorEastAsia"/>
                <w:color w:val="auto"/>
                <w:kern w:val="0"/>
                <w:szCs w:val="21"/>
              </w:rPr>
            </w:pPr>
            <w:r>
              <w:rPr>
                <w:rFonts w:hint="eastAsia" w:eastAsiaTheme="minorEastAsia"/>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661" w:type="dxa"/>
            <w:vAlign w:val="center"/>
          </w:tcPr>
          <w:p>
            <w:pPr>
              <w:jc w:val="center"/>
              <w:rPr>
                <w:rFonts w:eastAsiaTheme="minorEastAsia"/>
                <w:color w:val="auto"/>
                <w:szCs w:val="21"/>
              </w:rPr>
            </w:pPr>
            <w:r>
              <w:rPr>
                <w:rFonts w:hint="eastAsia" w:eastAsiaTheme="minorEastAsia"/>
                <w:color w:val="auto"/>
                <w:szCs w:val="21"/>
              </w:rPr>
              <w:t>4</w:t>
            </w:r>
          </w:p>
        </w:tc>
        <w:tc>
          <w:tcPr>
            <w:tcW w:w="1091" w:type="dxa"/>
            <w:vAlign w:val="center"/>
          </w:tcPr>
          <w:p>
            <w:pPr>
              <w:jc w:val="center"/>
              <w:rPr>
                <w:rFonts w:eastAsiaTheme="minorEastAsia"/>
                <w:color w:val="auto"/>
                <w:szCs w:val="21"/>
              </w:rPr>
            </w:pPr>
            <w:r>
              <w:rPr>
                <w:rFonts w:hint="eastAsia" w:eastAsiaTheme="minorEastAsia"/>
                <w:color w:val="auto"/>
                <w:szCs w:val="21"/>
              </w:rPr>
              <w:t>资信证明</w:t>
            </w:r>
          </w:p>
        </w:tc>
        <w:tc>
          <w:tcPr>
            <w:tcW w:w="7350" w:type="dxa"/>
            <w:vAlign w:val="center"/>
          </w:tcPr>
          <w:p>
            <w:pPr>
              <w:spacing w:line="400" w:lineRule="exact"/>
              <w:rPr>
                <w:color w:val="auto"/>
                <w:szCs w:val="21"/>
              </w:rPr>
            </w:pPr>
            <w:r>
              <w:rPr>
                <w:rFonts w:hint="eastAsia"/>
                <w:color w:val="auto"/>
                <w:szCs w:val="21"/>
              </w:rPr>
              <w:t>具有质量管理体系认证、环境管理体系认证、企业信用等级、守合同重信用证书的</w:t>
            </w:r>
            <w:r>
              <w:rPr>
                <w:color w:val="auto"/>
                <w:szCs w:val="21"/>
              </w:rPr>
              <w:t>（</w:t>
            </w:r>
            <w:r>
              <w:rPr>
                <w:rFonts w:hint="eastAsia"/>
                <w:color w:val="auto"/>
                <w:szCs w:val="21"/>
              </w:rPr>
              <w:t>需</w:t>
            </w:r>
            <w:r>
              <w:rPr>
                <w:color w:val="auto"/>
                <w:szCs w:val="21"/>
              </w:rPr>
              <w:t>提供复印件</w:t>
            </w:r>
            <w:r>
              <w:rPr>
                <w:rFonts w:hint="eastAsia"/>
                <w:color w:val="auto"/>
                <w:szCs w:val="21"/>
              </w:rPr>
              <w:t>，原件备查</w:t>
            </w:r>
            <w:r>
              <w:rPr>
                <w:color w:val="auto"/>
                <w:szCs w:val="21"/>
              </w:rPr>
              <w:t>）</w:t>
            </w:r>
            <w:r>
              <w:rPr>
                <w:rFonts w:hint="eastAsia"/>
                <w:color w:val="auto"/>
                <w:szCs w:val="21"/>
              </w:rPr>
              <w:t>，每个证书得1分，共4分。</w:t>
            </w:r>
          </w:p>
        </w:tc>
        <w:tc>
          <w:tcPr>
            <w:tcW w:w="659" w:type="dxa"/>
            <w:vAlign w:val="center"/>
          </w:tcPr>
          <w:p>
            <w:pPr>
              <w:spacing w:line="280" w:lineRule="exact"/>
              <w:jc w:val="center"/>
              <w:rPr>
                <w:rFonts w:eastAsiaTheme="minorEastAsia"/>
                <w:color w:val="auto"/>
                <w:szCs w:val="21"/>
              </w:rPr>
            </w:pPr>
            <w:r>
              <w:rPr>
                <w:rFonts w:hint="eastAsia" w:eastAsiaTheme="minorEastAsia"/>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8" w:hRule="atLeast"/>
          <w:jc w:val="center"/>
        </w:trPr>
        <w:tc>
          <w:tcPr>
            <w:tcW w:w="661" w:type="dxa"/>
            <w:vAlign w:val="center"/>
          </w:tcPr>
          <w:p>
            <w:pPr>
              <w:jc w:val="center"/>
              <w:rPr>
                <w:rFonts w:eastAsiaTheme="minorEastAsia"/>
                <w:color w:val="auto"/>
                <w:szCs w:val="21"/>
              </w:rPr>
            </w:pPr>
            <w:r>
              <w:rPr>
                <w:rFonts w:hint="eastAsia" w:eastAsiaTheme="minorEastAsia"/>
                <w:color w:val="auto"/>
                <w:szCs w:val="21"/>
              </w:rPr>
              <w:t>5</w:t>
            </w:r>
          </w:p>
        </w:tc>
        <w:tc>
          <w:tcPr>
            <w:tcW w:w="1091" w:type="dxa"/>
            <w:vAlign w:val="center"/>
          </w:tcPr>
          <w:p>
            <w:pPr>
              <w:jc w:val="center"/>
              <w:rPr>
                <w:rFonts w:eastAsiaTheme="minorEastAsia"/>
                <w:color w:val="auto"/>
                <w:szCs w:val="21"/>
              </w:rPr>
            </w:pPr>
            <w:r>
              <w:rPr>
                <w:rFonts w:hint="eastAsia" w:eastAsiaTheme="minorEastAsia"/>
                <w:color w:val="auto"/>
                <w:szCs w:val="21"/>
              </w:rPr>
              <w:t>质保服务</w:t>
            </w:r>
          </w:p>
        </w:tc>
        <w:tc>
          <w:tcPr>
            <w:tcW w:w="7350" w:type="dxa"/>
            <w:vAlign w:val="center"/>
          </w:tcPr>
          <w:p>
            <w:pPr>
              <w:numPr>
                <w:ilvl w:val="0"/>
                <w:numId w:val="6"/>
              </w:numPr>
              <w:spacing w:line="400" w:lineRule="exact"/>
              <w:rPr>
                <w:rFonts w:eastAsiaTheme="minorEastAsia"/>
                <w:bCs/>
                <w:color w:val="auto"/>
                <w:kern w:val="0"/>
                <w:szCs w:val="21"/>
              </w:rPr>
            </w:pPr>
            <w:r>
              <w:rPr>
                <w:rFonts w:hint="eastAsia" w:eastAsiaTheme="minorEastAsia"/>
                <w:bCs/>
                <w:color w:val="auto"/>
                <w:kern w:val="0"/>
                <w:szCs w:val="21"/>
              </w:rPr>
              <w:t>提供生产厂家性能保障证明资料</w:t>
            </w:r>
            <w:r>
              <w:rPr>
                <w:rFonts w:hint="eastAsia" w:eastAsiaTheme="minorEastAsia"/>
                <w:bCs/>
                <w:color w:val="auto"/>
                <w:kern w:val="0"/>
                <w:szCs w:val="21"/>
                <w:lang w:eastAsia="zh-CN"/>
              </w:rPr>
              <w:t>（</w:t>
            </w:r>
            <w:r>
              <w:rPr>
                <w:rFonts w:hint="eastAsia" w:eastAsiaTheme="minorEastAsia"/>
                <w:bCs/>
                <w:color w:val="auto"/>
                <w:kern w:val="0"/>
                <w:szCs w:val="21"/>
              </w:rPr>
              <w:t>生产许可证</w:t>
            </w:r>
            <w:r>
              <w:rPr>
                <w:rFonts w:hint="eastAsia" w:eastAsiaTheme="minorEastAsia"/>
                <w:bCs/>
                <w:color w:val="auto"/>
                <w:kern w:val="0"/>
                <w:szCs w:val="21"/>
                <w:lang w:eastAsia="zh-CN"/>
              </w:rPr>
              <w:t>）</w:t>
            </w:r>
            <w:r>
              <w:rPr>
                <w:rFonts w:hint="eastAsia" w:eastAsiaTheme="minorEastAsia"/>
                <w:bCs/>
                <w:color w:val="auto"/>
                <w:kern w:val="0"/>
                <w:szCs w:val="21"/>
              </w:rPr>
              <w:t>和原厂质保服务的（需提供证明材料复印件，原件备查），每项得1分，共2分。</w:t>
            </w:r>
          </w:p>
          <w:p>
            <w:pPr>
              <w:spacing w:line="400" w:lineRule="exact"/>
              <w:rPr>
                <w:color w:val="auto"/>
                <w:szCs w:val="21"/>
              </w:rPr>
            </w:pPr>
            <w:r>
              <w:rPr>
                <w:rFonts w:hint="eastAsia"/>
                <w:color w:val="auto"/>
                <w:szCs w:val="21"/>
              </w:rPr>
              <w:t>(2)提供3年免费质保不加分，整个项目每延长1年免费质保加1分，最多2分。</w:t>
            </w:r>
          </w:p>
          <w:p>
            <w:pPr>
              <w:numPr>
                <w:ilvl w:val="0"/>
                <w:numId w:val="7"/>
              </w:numPr>
              <w:spacing w:line="400" w:lineRule="exact"/>
              <w:rPr>
                <w:color w:val="auto"/>
                <w:szCs w:val="21"/>
              </w:rPr>
            </w:pPr>
            <w:r>
              <w:rPr>
                <w:rFonts w:hint="eastAsia"/>
                <w:color w:val="auto"/>
                <w:szCs w:val="21"/>
              </w:rPr>
              <w:t>承诺在质保期间，每年至少提供2次仪器免费检查、保养服务的，得1分。</w:t>
            </w:r>
          </w:p>
        </w:tc>
        <w:tc>
          <w:tcPr>
            <w:tcW w:w="659" w:type="dxa"/>
            <w:vAlign w:val="center"/>
          </w:tcPr>
          <w:p>
            <w:pPr>
              <w:spacing w:line="280" w:lineRule="exact"/>
              <w:jc w:val="center"/>
              <w:rPr>
                <w:rFonts w:eastAsiaTheme="minorEastAsia"/>
                <w:color w:val="auto"/>
                <w:szCs w:val="21"/>
              </w:rPr>
            </w:pPr>
            <w:r>
              <w:rPr>
                <w:rFonts w:hint="eastAsia" w:eastAsiaTheme="minorEastAsia"/>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661" w:type="dxa"/>
            <w:vAlign w:val="center"/>
          </w:tcPr>
          <w:p>
            <w:pPr>
              <w:jc w:val="center"/>
              <w:rPr>
                <w:rFonts w:hint="eastAsia" w:eastAsiaTheme="minorEastAsia"/>
                <w:color w:val="auto"/>
                <w:szCs w:val="21"/>
                <w:lang w:eastAsia="zh-CN"/>
              </w:rPr>
            </w:pPr>
            <w:r>
              <w:rPr>
                <w:rFonts w:hint="eastAsia" w:eastAsiaTheme="minorEastAsia"/>
                <w:color w:val="auto"/>
                <w:szCs w:val="21"/>
                <w:lang w:val="en-US" w:eastAsia="zh-CN"/>
              </w:rPr>
              <w:t>6</w:t>
            </w:r>
          </w:p>
        </w:tc>
        <w:tc>
          <w:tcPr>
            <w:tcW w:w="1091" w:type="dxa"/>
            <w:vAlign w:val="center"/>
          </w:tcPr>
          <w:p>
            <w:pPr>
              <w:jc w:val="center"/>
              <w:rPr>
                <w:rFonts w:eastAsiaTheme="minorEastAsia"/>
                <w:color w:val="auto"/>
                <w:szCs w:val="21"/>
              </w:rPr>
            </w:pPr>
            <w:r>
              <w:rPr>
                <w:rFonts w:hint="eastAsia" w:eastAsiaTheme="minorEastAsia"/>
                <w:color w:val="auto"/>
                <w:szCs w:val="21"/>
              </w:rPr>
              <w:t>实施方案</w:t>
            </w:r>
          </w:p>
        </w:tc>
        <w:tc>
          <w:tcPr>
            <w:tcW w:w="7350" w:type="dxa"/>
            <w:vAlign w:val="center"/>
          </w:tcPr>
          <w:p>
            <w:pPr>
              <w:spacing w:line="400" w:lineRule="exact"/>
              <w:rPr>
                <w:color w:val="auto"/>
                <w:szCs w:val="21"/>
              </w:rPr>
            </w:pPr>
            <w:r>
              <w:rPr>
                <w:rFonts w:hint="eastAsia"/>
                <w:color w:val="auto"/>
                <w:szCs w:val="21"/>
              </w:rPr>
              <w:t>根据投标人提供的系统设备送货调试方案是否完善可行打分。</w:t>
            </w:r>
          </w:p>
          <w:p>
            <w:pPr>
              <w:spacing w:line="400" w:lineRule="exact"/>
              <w:rPr>
                <w:color w:val="auto"/>
                <w:szCs w:val="21"/>
              </w:rPr>
            </w:pPr>
            <w:r>
              <w:rPr>
                <w:rFonts w:hint="eastAsia"/>
                <w:color w:val="auto"/>
                <w:szCs w:val="21"/>
              </w:rPr>
              <w:t>优：8分；良：6分；一般：4分；差：2分。</w:t>
            </w:r>
          </w:p>
        </w:tc>
        <w:tc>
          <w:tcPr>
            <w:tcW w:w="659" w:type="dxa"/>
            <w:vAlign w:val="center"/>
          </w:tcPr>
          <w:p>
            <w:pPr>
              <w:spacing w:line="280" w:lineRule="exact"/>
              <w:jc w:val="center"/>
              <w:rPr>
                <w:rFonts w:eastAsiaTheme="minorEastAsia"/>
                <w:color w:val="auto"/>
                <w:szCs w:val="21"/>
              </w:rPr>
            </w:pPr>
            <w:r>
              <w:rPr>
                <w:rFonts w:hint="eastAsia" w:eastAsiaTheme="minorEastAsia"/>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661" w:type="dxa"/>
            <w:vAlign w:val="center"/>
          </w:tcPr>
          <w:p>
            <w:pPr>
              <w:spacing w:line="280" w:lineRule="exact"/>
              <w:jc w:val="center"/>
              <w:rPr>
                <w:rFonts w:hint="eastAsia" w:eastAsiaTheme="minorEastAsia"/>
                <w:color w:val="auto"/>
                <w:szCs w:val="21"/>
                <w:lang w:eastAsia="zh-CN"/>
              </w:rPr>
            </w:pPr>
            <w:r>
              <w:rPr>
                <w:rFonts w:hint="eastAsia" w:eastAsiaTheme="minorEastAsia"/>
                <w:color w:val="auto"/>
                <w:szCs w:val="21"/>
                <w:lang w:val="en-US" w:eastAsia="zh-CN"/>
              </w:rPr>
              <w:t>7</w:t>
            </w:r>
          </w:p>
        </w:tc>
        <w:tc>
          <w:tcPr>
            <w:tcW w:w="1091" w:type="dxa"/>
            <w:vAlign w:val="center"/>
          </w:tcPr>
          <w:p>
            <w:pPr>
              <w:spacing w:line="280" w:lineRule="exact"/>
              <w:jc w:val="center"/>
              <w:rPr>
                <w:rFonts w:eastAsiaTheme="minorEastAsia"/>
                <w:color w:val="auto"/>
                <w:szCs w:val="21"/>
              </w:rPr>
            </w:pPr>
            <w:r>
              <w:rPr>
                <w:rFonts w:hint="eastAsia" w:eastAsiaTheme="minorEastAsia"/>
                <w:color w:val="auto"/>
                <w:szCs w:val="21"/>
              </w:rPr>
              <w:t>售后承诺</w:t>
            </w:r>
          </w:p>
        </w:tc>
        <w:tc>
          <w:tcPr>
            <w:tcW w:w="7350" w:type="dxa"/>
            <w:vAlign w:val="center"/>
          </w:tcPr>
          <w:p>
            <w:pPr>
              <w:spacing w:line="400" w:lineRule="exact"/>
              <w:rPr>
                <w:color w:val="auto"/>
                <w:szCs w:val="21"/>
              </w:rPr>
            </w:pPr>
            <w:r>
              <w:rPr>
                <w:rFonts w:hint="eastAsia"/>
                <w:color w:val="auto"/>
                <w:szCs w:val="21"/>
              </w:rPr>
              <w:t>针对投标人是否有售后服务体系、在采购人所在地是否有售后服务机构及人员、售后服务承诺、维保价格、主要备品配件的价格、售后服务应答及处理时间、培训方案等进行综合评价。</w:t>
            </w:r>
          </w:p>
          <w:p>
            <w:pPr>
              <w:spacing w:line="400" w:lineRule="exact"/>
              <w:rPr>
                <w:color w:val="auto"/>
                <w:szCs w:val="21"/>
              </w:rPr>
            </w:pPr>
            <w:r>
              <w:rPr>
                <w:rFonts w:hint="eastAsia"/>
                <w:color w:val="auto"/>
                <w:szCs w:val="21"/>
              </w:rPr>
              <w:t>优：8分；良：6分；一般：4分；差：2分。</w:t>
            </w:r>
          </w:p>
        </w:tc>
        <w:tc>
          <w:tcPr>
            <w:tcW w:w="659" w:type="dxa"/>
            <w:vAlign w:val="center"/>
          </w:tcPr>
          <w:p>
            <w:pPr>
              <w:spacing w:line="280" w:lineRule="exact"/>
              <w:jc w:val="center"/>
              <w:rPr>
                <w:rFonts w:eastAsiaTheme="minorEastAsia"/>
                <w:color w:val="auto"/>
                <w:szCs w:val="21"/>
              </w:rPr>
            </w:pPr>
            <w:r>
              <w:rPr>
                <w:rFonts w:hint="eastAsia" w:eastAsiaTheme="minorEastAsia"/>
                <w:color w:val="auto"/>
                <w:szCs w:val="21"/>
              </w:rPr>
              <w:t>8</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、评标结束后，投标人可至</w:t>
      </w:r>
      <w:r>
        <w:rPr>
          <w:rFonts w:hint="eastAsia" w:ascii="Times New Roman" w:hAnsi="Times New Roman"/>
          <w:color w:val="auto"/>
          <w:szCs w:val="21"/>
        </w:rPr>
        <w:t>江苏开放大学首页下方</w:t>
      </w:r>
      <w:r>
        <w:rPr>
          <w:rFonts w:ascii="Times New Roman" w:hAnsi="Times New Roman"/>
          <w:color w:val="auto"/>
          <w:szCs w:val="21"/>
        </w:rPr>
        <w:t>（</w:t>
      </w:r>
      <w:r>
        <w:rPr>
          <w:color w:val="auto"/>
        </w:rPr>
        <w:fldChar w:fldCharType="begin"/>
      </w:r>
      <w:r>
        <w:rPr>
          <w:color w:val="auto"/>
        </w:rPr>
        <w:instrText xml:space="preserve"> HYPERLINK "http://www.jsou.cn/" </w:instrText>
      </w:r>
      <w:r>
        <w:rPr>
          <w:color w:val="auto"/>
        </w:rPr>
        <w:fldChar w:fldCharType="separate"/>
      </w:r>
      <w:r>
        <w:rPr>
          <w:rStyle w:val="33"/>
          <w:rFonts w:hint="eastAsia" w:ascii="Times New Roman" w:hAnsi="Times New Roman"/>
          <w:color w:val="auto"/>
          <w:szCs w:val="21"/>
        </w:rPr>
        <w:t>http://www.jsou.cn/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spacing w:line="360" w:lineRule="auto"/>
        <w:rPr>
          <w:rStyle w:val="31"/>
          <w:rFonts w:ascii="Times New Roman" w:hAnsi="Times New Roman"/>
          <w:b/>
          <w:bCs w:val="0"/>
          <w:color w:val="auto"/>
          <w:sz w:val="21"/>
          <w:szCs w:val="21"/>
        </w:rPr>
      </w:pPr>
      <w:bookmarkStart w:id="23" w:name="_Toc386980215"/>
      <w:bookmarkStart w:id="24" w:name="_Toc455914610"/>
      <w:bookmarkStart w:id="25" w:name="_Toc384844738"/>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3"/>
      <w:bookmarkEnd w:id="24"/>
      <w:bookmarkEnd w:id="25"/>
      <w:bookmarkStart w:id="26" w:name="_Toc455914611"/>
      <w:bookmarkStart w:id="27" w:name="_Toc386980216"/>
      <w:bookmarkStart w:id="28" w:name="_Toc384844739"/>
    </w:p>
    <w:p>
      <w:pPr>
        <w:spacing w:line="360" w:lineRule="auto"/>
        <w:ind w:firstLine="420" w:firstLineChars="200"/>
        <w:rPr>
          <w:color w:val="auto"/>
        </w:rPr>
      </w:pPr>
      <w:r>
        <w:rPr>
          <w:rFonts w:hint="eastAsia"/>
          <w:color w:val="auto"/>
        </w:rPr>
        <w:t>无。</w:t>
      </w:r>
    </w:p>
    <w:p>
      <w:pPr>
        <w:pStyle w:val="5"/>
        <w:spacing w:line="360" w:lineRule="auto"/>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w:t>
      </w:r>
      <w:r>
        <w:rPr>
          <w:rFonts w:hint="eastAsia" w:ascii="Times New Roman" w:hAnsi="Times New Roman"/>
          <w:color w:val="auto"/>
          <w:szCs w:val="21"/>
        </w:rPr>
        <w:t>做出</w:t>
      </w:r>
      <w:r>
        <w:rPr>
          <w:rFonts w:ascii="Times New Roman" w:hAnsi="Times New Roman"/>
          <w:color w:val="auto"/>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spacing w:line="360" w:lineRule="auto"/>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0"/>
    <w:p>
      <w:pPr>
        <w:pStyle w:val="5"/>
        <w:spacing w:line="360" w:lineRule="auto"/>
        <w:rPr>
          <w:rFonts w:ascii="Times New Roman" w:hAnsi="Times New Roman"/>
          <w:color w:val="auto"/>
          <w:sz w:val="21"/>
          <w:szCs w:val="21"/>
        </w:rPr>
      </w:pPr>
      <w:bookmarkStart w:id="31" w:name="_Toc386980217"/>
      <w:bookmarkStart w:id="32" w:name="_Toc384844740"/>
      <w:bookmarkStart w:id="33"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spacing w:line="360" w:lineRule="auto"/>
        <w:rPr>
          <w:rFonts w:ascii="Times New Roman" w:hAnsi="Times New Roman"/>
          <w:color w:val="auto"/>
          <w:sz w:val="21"/>
          <w:szCs w:val="21"/>
        </w:rPr>
      </w:pPr>
      <w:bookmarkStart w:id="34" w:name="_Toc455914616"/>
      <w:bookmarkStart w:id="35" w:name="_Toc386980218"/>
      <w:bookmarkStart w:id="36" w:name="_Toc384844741"/>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w:t>
      </w:r>
      <w:r>
        <w:rPr>
          <w:rFonts w:hint="eastAsia" w:ascii="Times New Roman" w:hAnsi="Times New Roman"/>
          <w:color w:val="auto"/>
          <w:szCs w:val="21"/>
        </w:rPr>
        <w:t>产</w:t>
      </w:r>
      <w:r>
        <w:rPr>
          <w:rFonts w:ascii="Times New Roman" w:hAnsi="Times New Roman"/>
          <w:color w:val="auto"/>
          <w:szCs w:val="21"/>
        </w:rPr>
        <w:t>品，到货验收合格，采购人将在</w:t>
      </w:r>
      <w:r>
        <w:rPr>
          <w:rFonts w:hint="eastAsia" w:ascii="Times New Roman" w:hAnsi="Times New Roman"/>
          <w:color w:val="auto"/>
          <w:szCs w:val="21"/>
        </w:rPr>
        <w:t>合同约定时间</w:t>
      </w:r>
      <w:r>
        <w:rPr>
          <w:rFonts w:ascii="Times New Roman" w:hAnsi="Times New Roman"/>
          <w:color w:val="auto"/>
          <w:szCs w:val="21"/>
        </w:rPr>
        <w:t>内付清</w:t>
      </w:r>
      <w:r>
        <w:rPr>
          <w:rFonts w:hint="eastAsia" w:ascii="Times New Roman" w:hAnsi="Times New Roman"/>
          <w:color w:val="auto"/>
          <w:szCs w:val="21"/>
        </w:rPr>
        <w:t>货款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2、学校不提供预付款，本次采购的货物需按照采购人的需求，分批次交货和付款。服务全部完成，货物运到采购人指定的地点，经采购人验收合格，中标供应商提交所需单据后，支付单据金额的 95 %；余款5%作为质保金，一年后（从最后一批次验收合格之日算起）无质量问题一个月内付清（不计利息）。</w:t>
      </w:r>
    </w:p>
    <w:p>
      <w:pPr>
        <w:pStyle w:val="16"/>
        <w:spacing w:line="360" w:lineRule="auto"/>
        <w:ind w:firstLine="420" w:firstLineChars="200"/>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bookmarkStart w:id="37" w:name="_Toc455914617"/>
    </w:p>
    <w:p>
      <w:pPr>
        <w:pStyle w:val="5"/>
        <w:spacing w:line="360" w:lineRule="auto"/>
        <w:jc w:val="center"/>
        <w:rPr>
          <w:bCs/>
          <w:color w:val="auto"/>
          <w:szCs w:val="21"/>
        </w:rPr>
      </w:pPr>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7"/>
    </w:p>
    <w:p>
      <w:pPr>
        <w:pStyle w:val="25"/>
        <w:spacing w:before="0" w:beforeAutospacing="0" w:after="0" w:afterAutospacing="0" w:line="450" w:lineRule="atLeast"/>
        <w:rPr>
          <w:rFonts w:ascii="Times New Roman" w:hAnsi="Times New Roman" w:cs="Times New Roman"/>
          <w:b/>
          <w:bCs/>
          <w:color w:val="auto"/>
          <w:sz w:val="21"/>
          <w:szCs w:val="21"/>
        </w:rPr>
      </w:pPr>
      <w:r>
        <w:rPr>
          <w:rFonts w:ascii="Times New Roman" w:hAnsi="Times New Roman" w:cs="Times New Roman"/>
          <w:b/>
          <w:bCs/>
          <w:color w:val="auto"/>
          <w:sz w:val="21"/>
          <w:szCs w:val="21"/>
        </w:rPr>
        <w:t>3.1 硬件部分技术指标</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测量信号跟踪：336通道；四星联合定位。BDSB1、B2、B3；GPSL1C/A、L1C、L2C、L2E、L5；GLONASSL1C/A、L1P、L2C/A、L2P、L3 SBASL1C/A、L5（对于⽀持L5的SBAS卫星）；GalileoGIOVE-A和GIOVE-B、E1、E5A、E5B QZSS、WAAS、MSAS、EGNOS、GAGAN（星站差分）；MSSL-Band</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测量GNSS特性：定位输出频率1Hz~50Hz；初始化时间⼩于10秒；初始化可靠性＞99.99%。全星座接收技术，能够⽀持来⾃所有现⾏的和规划中的GNSS星座信号；⾼可靠的载波跟踪技术，⼤⼤提⾼了载波精度，为⽤⼾提供⾼质量的原始观测数据；智能动态灵敏度定位技术，适应各种环境的变换，适应更加恶劣、更远距离的定位环境；⾼精度定位处理引擎</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定位精度：</w:t>
      </w:r>
      <w:bookmarkStart w:id="59" w:name="_GoBack"/>
      <w:bookmarkEnd w:id="59"/>
    </w:p>
    <w:p>
      <w:pPr>
        <w:pStyle w:val="25"/>
        <w:spacing w:before="0" w:beforeAutospacing="0" w:after="0" w:afterAutospacing="0" w:line="450" w:lineRule="atLeast"/>
        <w:ind w:left="420" w:leftChars="200"/>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静态测量最大允许误差： ±（2.5mm+1mm/km×d） （d为被测点间距离，km） </w:t>
      </w:r>
    </w:p>
    <w:p>
      <w:pPr>
        <w:pStyle w:val="25"/>
        <w:spacing w:before="0" w:beforeAutospacing="0" w:after="0" w:afterAutospacing="0" w:line="450" w:lineRule="atLeast"/>
        <w:ind w:left="420" w:leftChars="200"/>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实时动态（RTK）测量最大允许误差： ±（8mm+1mm/km×d） （d为被测点间距离，km）</w:t>
      </w:r>
    </w:p>
    <w:p>
      <w:pPr>
        <w:pStyle w:val="25"/>
        <w:spacing w:before="0" w:beforeAutospacing="0" w:after="0" w:afterAutospacing="0" w:line="450" w:lineRule="atLeast"/>
        <w:ind w:left="420" w:leftChars="200"/>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星链 （选配）;4cm以内；收敛时间⼩于30min；MSSL-Band</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★操作系统：Linux操作系统</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按键 ：四按键可视化操作 </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液晶屏 ：⾼清1.54⼨OLED屏幕，分辨率128*64 </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指⽰灯：四指⽰灯</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 web交互 ：⽀持WIFI和USB模式访问接收机内置Web管理⻚⾯，监控主机状态、⾃由配置主机等</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⼆次开发：提供⼆次开发包，开放OpenSIC观测数据格式以及交互接⼝定义⽤于⼆次开发</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数据云服务；拥有强大的云服务管理平台，可远程管理配置管理设备。</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尺⼨：165mm×168mm×122mm(⻓×宽×⾼) </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重量 ：1.85kg（含电池） </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温度：⼯作温度：‒45°C到+60°C；存储温度：‒55°C到+85°C </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防护等级：1m浸泡，完全防⽌粉尘进⼊，IP67级 ，抗3⽶跌落</w:t>
      </w:r>
    </w:p>
    <w:p>
      <w:pPr>
        <w:pStyle w:val="25"/>
        <w:numPr>
          <w:ilvl w:val="0"/>
          <w:numId w:val="8"/>
        </w:numPr>
        <w:spacing w:before="0" w:beforeAutospacing="0" w:after="0" w:afterAutospacing="0"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电源： 9-25V宽压直流设计，带过压保护</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★电池： 内置电池，7.4V，10000mAh ，静态模式标准持续⼯作时间⼤于30⼩时；动态模式标准持续⼯作时间⼤于15⼩时 （提供7*24h持续⼯作电源解决⽅案）*</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 I/O端⼝：5PINLEMO外接电源接⼝+RS232；7PINLEMO外接USB（OTG）；电台天线接⼝；SIM卡卡槽</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★⽆线电调制解调器：内置⾼性能收发⼀体电台,典型作业距离8km，⼯作频率450-470MHz，⽀持电台中继模式； 外置发射电台5W/25W，⼯作频率450-470MHz *</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蜂窝移动 基于Linux平台的智能PPP拨号技术，⾃动实时拨号、⼯作过程中持续在线; 配备4G全⽹通⾼速⽹络通讯模块;兼容各种CORS系统接⼊</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蓝⽛： BLEBluetooth4.0蓝⽛标准，⽀持Android、IOS系统⼿机连接；Bluetooth2.1+EDR标准 </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外部通信： 可选配外接GPRS/CDMA双模通讯模块，⾃由切换，适应各种⼯作环境；⽀持外接⽆线上⽹卡 标准</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WIFI：具有WIFI热点功能，任何智能终端均可接入接收机，可对接收机进行管理和设置；⼯业⼿簿、智能终端等数据采集器可与接收机之间通过WIFI进⾏数据传输同时接收机可接⼊WIFI，通过WIFI进⾏差分数据播发或接收</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数据存储： 8G内置固态存储器；⾃动循环存储(存储空间不⾜时⾃动删除最早数据)； ⽀持外接USB存储器进⾏数据存储；丰富的采样间隔，最⾼⽀持50Hz的原始观测数据采集</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数据传输：⼀键智能拷⻉，通过外接USB存储器直接导出主机静态数据；即插即⽤的USB传输数据⽅式； FTP下载、HTTP下载 </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数据格式： 静态数据格式：南⽅STH、Rinex2.01和Rinex3.02等多种格式 。差分数据格式：CMR+、CMRx、 RTCM2.1、 RTCM2.3、 RTCM3.0、 RTCM3.1、 RTCM3.2输⼊ 和输出。 GPS输出数据格式：NMEA0183、 PJK平⾯坐标、⼆进制码、 TrimbleGSOF  ⽹络模式⽀持：VRS、FKP、MAC，⽀持NTRIP协议</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电⼦⽓泡：内置感应器，⼿簿软件可显⽰电⼦⽓泡，实时检查对中杆整平情况 温度传感器 内置多个温度传感器，采⽤智能变频温控技术，实时监控与调节主机温</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★与学校前期购买的GPS (S862013)产品，不改变仪器的情况下可实现电台互通，数据格式互通，方便教学和老旧设备的联合使用。</w:t>
      </w:r>
    </w:p>
    <w:p>
      <w:pPr>
        <w:pStyle w:val="25"/>
        <w:numPr>
          <w:ilvl w:val="0"/>
          <w:numId w:val="8"/>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★标配手簿为安卓手簿，需提供任课教师两个免费安卓版手机软件，方便老师教学使用。</w:t>
      </w:r>
    </w:p>
    <w:p>
      <w:pPr>
        <w:pStyle w:val="25"/>
        <w:numPr>
          <w:ilvl w:val="0"/>
          <w:numId w:val="9"/>
        </w:numPr>
        <w:tabs>
          <w:tab w:val="left" w:pos="1740"/>
        </w:tabs>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配置外接点位影像采集系统，利用该系统在不同位置对同一目标点进行至少三张照片的拍摄，通过在线图像处理技术，即可在终端直接获取目标点坐标信息，可广泛运用于信号盲区测量，视觉延伸测量和风险规避测量。</w:t>
      </w:r>
    </w:p>
    <w:p>
      <w:pPr>
        <w:pStyle w:val="25"/>
        <w:spacing w:line="450" w:lineRule="atLeast"/>
        <w:rPr>
          <w:rFonts w:hint="default" w:ascii="Times New Roman" w:hAnsi="Times New Roman" w:cs="Times New Roman" w:eastAsiaTheme="minorEastAsia"/>
          <w:b/>
          <w:bCs/>
          <w:color w:val="auto"/>
          <w:kern w:val="2"/>
          <w:sz w:val="21"/>
          <w:szCs w:val="21"/>
        </w:rPr>
      </w:pPr>
      <w:r>
        <w:rPr>
          <w:rFonts w:hint="default" w:ascii="Times New Roman" w:hAnsi="Times New Roman" w:cs="Times New Roman" w:eastAsiaTheme="minorEastAsia"/>
          <w:b/>
          <w:bCs/>
          <w:color w:val="auto"/>
          <w:kern w:val="2"/>
          <w:sz w:val="21"/>
          <w:szCs w:val="21"/>
        </w:rPr>
        <w:t>3.2 配套软件部分技术参数</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★支持DWG格式的图形导入软件进行CAD放样。</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支持道路设计功能：输入线路设计所需要的要素， 软件会按要求计算出线路点坐标并绘制出线路走向图。支持断链，平曲线设计，纵曲线设计，标准横断面，边坡，超高，加宽放样。</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支持点测量、自动测量、控制点测量、点放样、直线放样、曲线放样、道路放样、电力线勘测、塔基断面放样等九个功能。</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 xml:space="preserve">支持一些与坐标相关的测量计算工具，如：计算坐标、计算方位角、间接测量、夹角计算。 </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★支持数据上传至云平台，确保数据的安全。</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★支持双功发射功能，在测量模式下设备可自我静态解算提高精度。</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支持控制点测量原始数据文件自定义导出。</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支持联网状态下软件自动升级。</w:t>
      </w:r>
    </w:p>
    <w:p>
      <w:pPr>
        <w:pStyle w:val="25"/>
        <w:numPr>
          <w:ilvl w:val="0"/>
          <w:numId w:val="10"/>
        </w:numPr>
        <w:spacing w:line="450" w:lineRule="atLeas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支持倾斜测量功能</w:t>
      </w:r>
    </w:p>
    <w:p>
      <w:pPr>
        <w:spacing w:line="400" w:lineRule="exact"/>
        <w:rPr>
          <w:rFonts w:hint="default" w:ascii="Times New Roman" w:hAnsi="Times New Roman" w:cs="Times New Roman" w:eastAsiaTheme="minorEastAsia"/>
          <w:b/>
          <w:bCs/>
          <w:color w:val="auto"/>
          <w:sz w:val="22"/>
          <w:szCs w:val="22"/>
        </w:rPr>
      </w:pPr>
      <w:r>
        <w:rPr>
          <w:rFonts w:hint="default" w:ascii="Times New Roman" w:hAnsi="Times New Roman" w:cs="Times New Roman" w:eastAsiaTheme="minorEastAsia"/>
          <w:b/>
          <w:bCs/>
          <w:color w:val="auto"/>
          <w:sz w:val="22"/>
          <w:szCs w:val="22"/>
        </w:rPr>
        <w:t>备注： ★项为必须满足项，不可偏离，否则投标无效。</w:t>
      </w:r>
    </w:p>
    <w:p>
      <w:pPr>
        <w:spacing w:line="360" w:lineRule="auto"/>
        <w:rPr>
          <w:rFonts w:hint="default" w:ascii="Times New Roman" w:hAnsi="Times New Roman" w:cs="Times New Roman" w:eastAsiaTheme="minorEastAsia"/>
          <w:color w:val="auto"/>
          <w:szCs w:val="21"/>
        </w:rPr>
      </w:pPr>
    </w:p>
    <w:p>
      <w:pPr>
        <w:spacing w:line="360" w:lineRule="auto"/>
        <w:rPr>
          <w:color w:val="auto"/>
          <w:szCs w:val="21"/>
        </w:rPr>
      </w:pPr>
    </w:p>
    <w:p>
      <w:pPr>
        <w:spacing w:line="360" w:lineRule="auto"/>
        <w:rPr>
          <w:color w:val="auto"/>
          <w:szCs w:val="21"/>
        </w:rPr>
      </w:pPr>
    </w:p>
    <w:p>
      <w:pPr>
        <w:spacing w:line="360" w:lineRule="auto"/>
        <w:rPr>
          <w:color w:val="auto"/>
          <w:szCs w:val="21"/>
        </w:rPr>
      </w:pPr>
    </w:p>
    <w:p>
      <w:pPr>
        <w:pStyle w:val="5"/>
        <w:spacing w:line="360" w:lineRule="auto"/>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 xml:space="preserve">  合同主要条款</w:t>
      </w:r>
    </w:p>
    <w:p>
      <w:pPr>
        <w:spacing w:line="360" w:lineRule="auto"/>
        <w:rPr>
          <w:color w:val="auto"/>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8" w:name="hetongStart"/>
      <w:bookmarkEnd w:id="38"/>
      <w:r>
        <w:rPr>
          <w:rFonts w:hint="eastAsia" w:ascii="宋体" w:hAnsi="宋体"/>
          <w:color w:val="auto"/>
          <w:sz w:val="24"/>
        </w:rPr>
        <w:t>甲方:</w:t>
      </w:r>
      <w:bookmarkStart w:id="39" w:name="purchase_start"/>
      <w:bookmarkEnd w:id="39"/>
      <w:bookmarkStart w:id="40" w:name="purchase_name"/>
      <w:bookmarkEnd w:id="40"/>
      <w:r>
        <w:rPr>
          <w:rFonts w:hint="eastAsia" w:ascii="宋体" w:hAnsi="宋体"/>
          <w:color w:val="auto"/>
          <w:sz w:val="24"/>
        </w:rPr>
        <w:t xml:space="preserve"> 江苏开放大学</w:t>
      </w:r>
      <w:bookmarkStart w:id="41" w:name="purchase_end"/>
      <w:bookmarkEnd w:id="41"/>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2" w:name="suppliers_name"/>
      <w:bookmarkEnd w:id="42"/>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rPr>
        <w:t xml:space="preserve"> 2019-ZB-XC012 </w:t>
      </w:r>
      <w:r>
        <w:rPr>
          <w:rFonts w:hint="eastAsia" w:ascii="宋体" w:hAnsi="宋体"/>
          <w:color w:val="auto"/>
          <w:sz w:val="24"/>
        </w:rPr>
        <w:t>的</w:t>
      </w:r>
      <w:r>
        <w:rPr>
          <w:rFonts w:hint="eastAsia" w:ascii="宋体" w:hAnsi="宋体"/>
          <w:color w:val="auto"/>
          <w:sz w:val="24"/>
          <w:u w:val="single"/>
        </w:rPr>
        <w:t xml:space="preserve"> 建工学院GNSS接收机 </w:t>
      </w:r>
      <w:r>
        <w:rPr>
          <w:rFonts w:hint="eastAsia" w:ascii="宋体" w:hAnsi="宋体"/>
          <w:color w:val="auto"/>
          <w:sz w:val="24"/>
        </w:rPr>
        <w:t>学校公开招标采购结果及采购文件的要求,经协商一致,达成如下货物购销合同: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28"/>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125" w:type="dxa"/>
            <w:gridSpan w:val="2"/>
            <w:vAlign w:val="center"/>
          </w:tcPr>
          <w:p>
            <w:pPr>
              <w:spacing w:line="360" w:lineRule="auto"/>
              <w:jc w:val="center"/>
              <w:rPr>
                <w:rFonts w:ascii="宋体" w:hAnsi="宋体"/>
                <w:color w:val="auto"/>
                <w:sz w:val="24"/>
              </w:rPr>
            </w:pPr>
            <w:r>
              <w:rPr>
                <w:rFonts w:hint="eastAsia" w:ascii="宋体" w:hAnsi="宋体"/>
                <w:color w:val="auto"/>
                <w:sz w:val="24"/>
              </w:rPr>
              <w:t>项目</w:t>
            </w:r>
          </w:p>
          <w:p>
            <w:pPr>
              <w:spacing w:line="360" w:lineRule="auto"/>
              <w:jc w:val="center"/>
              <w:rPr>
                <w:rFonts w:ascii="宋体" w:hAnsi="宋体"/>
                <w:color w:val="auto"/>
                <w:sz w:val="24"/>
              </w:rPr>
            </w:pPr>
            <w:r>
              <w:rPr>
                <w:rFonts w:hint="eastAsia" w:ascii="宋体" w:hAnsi="宋体"/>
                <w:color w:val="auto"/>
                <w:sz w:val="24"/>
              </w:rPr>
              <w:t>名称</w:t>
            </w: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1102"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1094"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1090" w:type="dxa"/>
            <w:vAlign w:val="center"/>
          </w:tcPr>
          <w:p>
            <w:pPr>
              <w:spacing w:line="360" w:lineRule="auto"/>
              <w:jc w:val="center"/>
              <w:rPr>
                <w:rFonts w:ascii="宋体" w:hAnsi="宋体"/>
                <w:color w:val="auto"/>
                <w:sz w:val="24"/>
              </w:rPr>
            </w:pPr>
            <w:r>
              <w:rPr>
                <w:rFonts w:hint="eastAsia" w:ascii="宋体" w:hAnsi="宋体"/>
                <w:color w:val="auto"/>
                <w:sz w:val="24"/>
              </w:rPr>
              <w:t>免费</w:t>
            </w:r>
          </w:p>
          <w:p>
            <w:pPr>
              <w:spacing w:line="360" w:lineRule="auto"/>
              <w:jc w:val="center"/>
              <w:rPr>
                <w:rFonts w:ascii="宋体" w:hAnsi="宋体"/>
                <w:color w:val="auto"/>
                <w:sz w:val="24"/>
              </w:rPr>
            </w:pPr>
            <w:r>
              <w:rPr>
                <w:rFonts w:hint="eastAsia" w:ascii="宋体" w:hAnsi="宋体"/>
                <w:color w:val="auto"/>
                <w:sz w:val="24"/>
              </w:rPr>
              <w:t>质保期</w:t>
            </w:r>
          </w:p>
        </w:tc>
        <w:tc>
          <w:tcPr>
            <w:tcW w:w="993" w:type="dxa"/>
            <w:vAlign w:val="center"/>
          </w:tcPr>
          <w:p>
            <w:pPr>
              <w:spacing w:line="360" w:lineRule="auto"/>
              <w:jc w:val="center"/>
              <w:rPr>
                <w:rFonts w:ascii="宋体" w:hAnsi="宋体"/>
                <w:color w:val="auto"/>
                <w:sz w:val="24"/>
              </w:rPr>
            </w:pPr>
            <w:r>
              <w:rPr>
                <w:rFonts w:hint="eastAsia" w:ascii="宋体" w:hAnsi="宋体"/>
                <w:color w:val="auto"/>
                <w:sz w:val="24"/>
              </w:rPr>
              <w:t>交货</w:t>
            </w:r>
          </w:p>
          <w:p>
            <w:pPr>
              <w:spacing w:line="360" w:lineRule="auto"/>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color w:val="auto"/>
                <w:sz w:val="24"/>
              </w:rPr>
            </w:pPr>
            <w:bookmarkStart w:id="43" w:name="Ord_Seq_Name"/>
            <w:bookmarkEnd w:id="43"/>
            <w:r>
              <w:rPr>
                <w:rFonts w:hint="eastAsia" w:ascii="宋体" w:hAnsi="宋体"/>
                <w:color w:val="auto"/>
                <w:sz w:val="24"/>
              </w:rPr>
              <w:t>1</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vAlign w:val="center"/>
          </w:tcPr>
          <w:p>
            <w:pPr>
              <w:spacing w:line="360" w:lineRule="auto"/>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3</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color w:val="auto"/>
                <w:sz w:val="24"/>
              </w:rPr>
            </w:pPr>
            <w:r>
              <w:rPr>
                <w:rFonts w:hint="eastAsia" w:ascii="宋体" w:hAnsi="宋体"/>
                <w:color w:val="auto"/>
                <w:sz w:val="24"/>
              </w:rPr>
              <w:t>合同总金额：人民币（大写）元整。</w:t>
            </w:r>
          </w:p>
          <w:p>
            <w:pPr>
              <w:spacing w:line="360" w:lineRule="auto"/>
              <w:rPr>
                <w:rFonts w:ascii="宋体" w:hAnsi="宋体"/>
                <w:color w:val="auto"/>
                <w:sz w:val="24"/>
                <w:u w:val="single"/>
              </w:rPr>
            </w:pPr>
            <w:r>
              <w:rPr>
                <w:rFonts w:hint="eastAsia" w:ascii="宋体" w:hAnsi="宋体"/>
                <w:color w:val="auto"/>
                <w:sz w:val="24"/>
              </w:rPr>
              <w:t>￥：</w:t>
            </w:r>
            <w:bookmarkStart w:id="44" w:name="Ppp_Amt_1"/>
            <w:bookmarkEnd w:id="44"/>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甲方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5" w:name="Cus_Usr"/>
            <w:bookmarkEnd w:id="45"/>
          </w:p>
          <w:p>
            <w:pPr>
              <w:spacing w:line="360" w:lineRule="auto"/>
              <w:rPr>
                <w:rFonts w:ascii="宋体" w:hAnsi="宋体"/>
                <w:color w:val="auto"/>
                <w:sz w:val="24"/>
              </w:rPr>
            </w:pPr>
            <w:r>
              <w:rPr>
                <w:rFonts w:hint="eastAsia" w:ascii="宋体" w:hAnsi="宋体"/>
                <w:color w:val="auto"/>
                <w:sz w:val="24"/>
              </w:rPr>
              <w:t>固定电话：</w:t>
            </w:r>
            <w:bookmarkStart w:id="46" w:name="Cus_Tel"/>
            <w:bookmarkEnd w:id="46"/>
            <w:r>
              <w:rPr>
                <w:rFonts w:hint="eastAsia" w:ascii="宋体" w:hAnsi="宋体"/>
                <w:color w:val="auto"/>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乙方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8" w:name="Spr_Usr"/>
            <w:bookmarkEnd w:id="48"/>
          </w:p>
          <w:p>
            <w:pPr>
              <w:spacing w:line="360" w:lineRule="auto"/>
              <w:rPr>
                <w:rFonts w:ascii="宋体" w:hAnsi="宋体"/>
                <w:color w:val="auto"/>
                <w:sz w:val="24"/>
              </w:rPr>
            </w:pPr>
            <w:r>
              <w:rPr>
                <w:rFonts w:hint="eastAsia" w:ascii="宋体" w:hAnsi="宋体"/>
                <w:color w:val="auto"/>
                <w:sz w:val="24"/>
              </w:rPr>
              <w:t>固定电话：</w:t>
            </w:r>
            <w:bookmarkStart w:id="49" w:name="Spr_Tel"/>
            <w:bookmarkEnd w:id="49"/>
            <w:r>
              <w:rPr>
                <w:rFonts w:hint="eastAsia" w:ascii="宋体" w:hAnsi="宋体"/>
                <w:color w:val="auto"/>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left="105" w:leftChars="50" w:firstLine="398" w:firstLineChars="166"/>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 </w:t>
      </w:r>
      <w:r>
        <w:rPr>
          <w:rFonts w:hint="eastAsia" w:ascii="宋体" w:hAnsi="宋体" w:cs="宋体"/>
          <w:color w:val="auto"/>
          <w:sz w:val="24"/>
        </w:rPr>
        <w:t xml:space="preserve"> %。</w:t>
      </w:r>
    </w:p>
    <w:p>
      <w:pPr>
        <w:widowControl/>
        <w:snapToGrid w:val="0"/>
        <w:spacing w:before="19" w:line="360" w:lineRule="auto"/>
        <w:ind w:left="105" w:leftChars="50" w:firstLine="398" w:firstLineChars="166"/>
        <w:rPr>
          <w:rFonts w:ascii="宋体" w:hAnsi="宋体" w:cs="宋体"/>
          <w:color w:val="auto"/>
          <w:sz w:val="24"/>
        </w:rPr>
      </w:pPr>
      <w:r>
        <w:rPr>
          <w:rFonts w:hint="eastAsia" w:ascii="宋体" w:hAnsi="宋体" w:cs="宋体"/>
          <w:color w:val="auto"/>
          <w:sz w:val="24"/>
        </w:rPr>
        <w:t>2、本次采购的货物需按照采购人的需求，分批次交货和付款。服务全部完成，货物运到采购人指定的地点，经采购人验收合格，中标供应商提交所需单据后，支付单据金额的</w:t>
      </w:r>
      <w:r>
        <w:rPr>
          <w:rFonts w:hint="eastAsia" w:ascii="宋体" w:hAnsi="宋体" w:cs="宋体"/>
          <w:color w:val="auto"/>
          <w:sz w:val="24"/>
          <w:u w:val="single"/>
        </w:rPr>
        <w:t xml:space="preserve"> 95 %</w:t>
      </w:r>
      <w:r>
        <w:rPr>
          <w:rFonts w:hint="eastAsia" w:ascii="宋体" w:hAnsi="宋体" w:cs="宋体"/>
          <w:color w:val="auto"/>
          <w:sz w:val="24"/>
        </w:rPr>
        <w:t>。</w:t>
      </w:r>
    </w:p>
    <w:p>
      <w:pPr>
        <w:widowControl/>
        <w:snapToGrid w:val="0"/>
        <w:spacing w:before="19" w:line="360" w:lineRule="auto"/>
        <w:ind w:left="105" w:leftChars="50" w:firstLine="398" w:firstLineChars="166"/>
        <w:rPr>
          <w:rFonts w:ascii="宋体" w:hAnsi="宋体" w:cs="宋体"/>
          <w:color w:val="auto"/>
          <w:sz w:val="24"/>
        </w:rPr>
      </w:pPr>
      <w:r>
        <w:rPr>
          <w:rFonts w:hint="eastAsia" w:ascii="宋体" w:hAnsi="宋体" w:cs="宋体"/>
          <w:color w:val="auto"/>
          <w:sz w:val="24"/>
        </w:rPr>
        <w:t>3、支付尾款：一年后（从最后一批次验收合格之日算起）无质量问题付清尾款（不计利息）。</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2" w:name="purchase_one_start"/>
      <w:bookmarkEnd w:id="52"/>
      <w:bookmarkStart w:id="53" w:name="purchase_name_one"/>
      <w:bookmarkEnd w:id="53"/>
      <w:r>
        <w:rPr>
          <w:rFonts w:hint="eastAsia" w:ascii="宋体" w:hAnsi="宋体"/>
          <w:b/>
          <w:color w:val="auto"/>
          <w:sz w:val="24"/>
        </w:rPr>
        <w:t>江苏开放大学</w:t>
      </w:r>
      <w:bookmarkStart w:id="54" w:name="purchase_one_end"/>
      <w:bookmarkEnd w:id="54"/>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5" w:name="suppliers_name_one"/>
      <w:bookmarkEnd w:id="55"/>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widowControl/>
        <w:snapToGrid w:val="0"/>
        <w:spacing w:before="19" w:line="360" w:lineRule="auto"/>
        <w:ind w:firstLine="3360" w:firstLineChars="1400"/>
        <w:rPr>
          <w:rFonts w:ascii="宋体" w:hAnsi="宋体"/>
          <w:color w:val="auto"/>
          <w:sz w:val="24"/>
          <w:u w:val="single"/>
        </w:rPr>
      </w:pPr>
    </w:p>
    <w:p>
      <w:pPr>
        <w:pStyle w:val="16"/>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w:t>
      </w:r>
      <w:r>
        <w:rPr>
          <w:rFonts w:hint="eastAsia" w:ascii="Times New Roman" w:hAnsi="Times New Roman" w:eastAsia="楷体"/>
          <w:color w:val="auto"/>
          <w:sz w:val="44"/>
        </w:rPr>
        <w:t xml:space="preserve">  </w:t>
      </w:r>
      <w:r>
        <w:rPr>
          <w:rFonts w:ascii="Times New Roman" w:hAnsi="Times New Roman" w:eastAsia="楷体"/>
          <w:color w:val="auto"/>
          <w:sz w:val="44"/>
        </w:rPr>
        <w:t>投标文件格式</w:t>
      </w:r>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4445" t="5080" r="5715" b="1778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4725" w:firstLineChars="22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4725" w:firstLineChars="22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4725" w:firstLineChars="22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4725" w:firstLineChars="22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4725" w:firstLineChars="22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4725" w:firstLineChars="22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4725" w:firstLineChars="22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11"/>
        </w:numPr>
        <w:jc w:val="center"/>
        <w:rPr>
          <w:rFonts w:hAnsi="宋体"/>
          <w:color w:val="auto"/>
          <w:sz w:val="36"/>
          <w:szCs w:val="36"/>
        </w:rPr>
      </w:pPr>
      <w:bookmarkStart w:id="56"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28"/>
        <w:tblW w:w="91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投标总价</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color w:val="auto"/>
          <w:sz w:val="24"/>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2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color w:val="auto"/>
          <w:sz w:val="36"/>
          <w:szCs w:val="36"/>
        </w:rPr>
      </w:pPr>
      <w:r>
        <w:rPr>
          <w:rFonts w:ascii="宋体" w:hAnsi="宋体"/>
          <w:b/>
          <w:color w:val="auto"/>
          <w:sz w:val="36"/>
          <w:szCs w:val="36"/>
        </w:rPr>
        <w:t>三、</w:t>
      </w:r>
      <w:bookmarkEnd w:id="56"/>
      <w:bookmarkStart w:id="57" w:name="_Toc157775469"/>
      <w:r>
        <w:rPr>
          <w:rFonts w:ascii="宋体" w:hAnsi="宋体"/>
          <w:b/>
          <w:color w:val="auto"/>
          <w:sz w:val="36"/>
          <w:szCs w:val="36"/>
        </w:rPr>
        <w:t>产品质保及服务承诺书</w:t>
      </w:r>
      <w:bookmarkStart w:id="58"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8"/>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7"/>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8"/>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8"/>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p>
      <w:pPr>
        <w:spacing w:line="500" w:lineRule="exact"/>
        <w:ind w:firstLine="6720" w:firstLineChars="2400"/>
        <w:rPr>
          <w:rFonts w:ascii="仿宋_GB2312" w:hAnsi="宋体" w:eastAsia="仿宋_GB2312"/>
          <w:color w:val="auto"/>
          <w:sz w:val="28"/>
          <w:szCs w:val="28"/>
        </w:rPr>
      </w:pPr>
    </w:p>
    <w:p>
      <w:pPr>
        <w:spacing w:line="440" w:lineRule="exact"/>
        <w:rPr>
          <w:rFonts w:ascii="宋体" w:hAnsi="宋体"/>
          <w:color w:val="auto"/>
          <w:szCs w:val="21"/>
        </w:rPr>
      </w:pPr>
    </w:p>
    <w:p>
      <w:pPr>
        <w:spacing w:line="360" w:lineRule="auto"/>
        <w:rPr>
          <w:rFonts w:ascii="宋体" w:hAnsi="宋体"/>
          <w:color w:val="auto"/>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933BD"/>
    <w:multiLevelType w:val="singleLevel"/>
    <w:tmpl w:val="8EF933BD"/>
    <w:lvl w:ilvl="0" w:tentative="0">
      <w:start w:val="1"/>
      <w:numFmt w:val="decimal"/>
      <w:lvlText w:val="(%1)"/>
      <w:lvlJc w:val="left"/>
      <w:pPr>
        <w:tabs>
          <w:tab w:val="left" w:pos="312"/>
        </w:tabs>
      </w:pPr>
    </w:lvl>
  </w:abstractNum>
  <w:abstractNum w:abstractNumId="1">
    <w:nsid w:val="EAA60BD7"/>
    <w:multiLevelType w:val="singleLevel"/>
    <w:tmpl w:val="EAA60BD7"/>
    <w:lvl w:ilvl="0" w:tentative="0">
      <w:start w:val="3"/>
      <w:numFmt w:val="decimal"/>
      <w:lvlText w:val="(%1)"/>
      <w:lvlJc w:val="left"/>
      <w:pPr>
        <w:tabs>
          <w:tab w:val="left" w:pos="312"/>
        </w:tabs>
      </w:pPr>
    </w:lvl>
  </w:abstractNum>
  <w:abstractNum w:abstractNumId="2">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3">
    <w:nsid w:val="1804742B"/>
    <w:multiLevelType w:val="multilevel"/>
    <w:tmpl w:val="1804742B"/>
    <w:lvl w:ilvl="0" w:tentative="0">
      <w:start w:val="1"/>
      <w:numFmt w:val="decimal"/>
      <w:lvlText w:val="%1."/>
      <w:lvlJc w:val="left"/>
      <w:pPr>
        <w:ind w:left="360" w:hanging="360"/>
      </w:pPr>
      <w:rPr>
        <w:rFonts w:hint="default"/>
        <w:color w:val="666666"/>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7C2022"/>
    <w:multiLevelType w:val="multilevel"/>
    <w:tmpl w:val="387C20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E45DDA"/>
    <w:multiLevelType w:val="singleLevel"/>
    <w:tmpl w:val="59E45DDA"/>
    <w:lvl w:ilvl="0" w:tentative="0">
      <w:start w:val="1"/>
      <w:numFmt w:val="decimal"/>
      <w:suff w:val="nothing"/>
      <w:lvlText w:val="%1、"/>
      <w:lvlJc w:val="left"/>
    </w:lvl>
  </w:abstractNum>
  <w:abstractNum w:abstractNumId="7">
    <w:nsid w:val="59E4778C"/>
    <w:multiLevelType w:val="singleLevel"/>
    <w:tmpl w:val="59E4778C"/>
    <w:lvl w:ilvl="0" w:tentative="0">
      <w:start w:val="2"/>
      <w:numFmt w:val="chineseCounting"/>
      <w:suff w:val="nothing"/>
      <w:lvlText w:val="%1、"/>
      <w:lvlJc w:val="left"/>
    </w:lvl>
  </w:abstractNum>
  <w:abstractNum w:abstractNumId="8">
    <w:nsid w:val="59E80311"/>
    <w:multiLevelType w:val="singleLevel"/>
    <w:tmpl w:val="59E80311"/>
    <w:lvl w:ilvl="0" w:tentative="0">
      <w:start w:val="1"/>
      <w:numFmt w:val="decimal"/>
      <w:suff w:val="nothing"/>
      <w:lvlText w:val="%1、"/>
      <w:lvlJc w:val="left"/>
    </w:lvl>
  </w:abstractNum>
  <w:abstractNum w:abstractNumId="9">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6A655EEE"/>
    <w:multiLevelType w:val="singleLevel"/>
    <w:tmpl w:val="6A655EEE"/>
    <w:lvl w:ilvl="0" w:tentative="0">
      <w:start w:val="29"/>
      <w:numFmt w:val="decimal"/>
      <w:suff w:val="space"/>
      <w:lvlText w:val="%1."/>
      <w:lvlJc w:val="left"/>
    </w:lvl>
  </w:abstractNum>
  <w:num w:numId="1">
    <w:abstractNumId w:val="2"/>
  </w:num>
  <w:num w:numId="2">
    <w:abstractNumId w:val="5"/>
  </w:num>
  <w:num w:numId="3">
    <w:abstractNumId w:val="9"/>
  </w:num>
  <w:num w:numId="4">
    <w:abstractNumId w:val="6"/>
  </w:num>
  <w:num w:numId="5">
    <w:abstractNumId w:val="8"/>
  </w:num>
  <w:num w:numId="6">
    <w:abstractNumId w:val="0"/>
  </w:num>
  <w:num w:numId="7">
    <w:abstractNumId w:val="1"/>
  </w:num>
  <w:num w:numId="8">
    <w:abstractNumId w:val="3"/>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4C"/>
    <w:rsid w:val="00000F2F"/>
    <w:rsid w:val="0000170F"/>
    <w:rsid w:val="0000366C"/>
    <w:rsid w:val="0000447C"/>
    <w:rsid w:val="0000468A"/>
    <w:rsid w:val="0000543E"/>
    <w:rsid w:val="000054C2"/>
    <w:rsid w:val="00005AB8"/>
    <w:rsid w:val="00007920"/>
    <w:rsid w:val="0001004E"/>
    <w:rsid w:val="000109D8"/>
    <w:rsid w:val="0001175E"/>
    <w:rsid w:val="00013C5A"/>
    <w:rsid w:val="0001432F"/>
    <w:rsid w:val="00014CEA"/>
    <w:rsid w:val="000160E7"/>
    <w:rsid w:val="0001627D"/>
    <w:rsid w:val="000166E0"/>
    <w:rsid w:val="00016AFC"/>
    <w:rsid w:val="00016D27"/>
    <w:rsid w:val="00017448"/>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B88"/>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D9A"/>
    <w:rsid w:val="000B4F15"/>
    <w:rsid w:val="000B5A0B"/>
    <w:rsid w:val="000B6B65"/>
    <w:rsid w:val="000B714A"/>
    <w:rsid w:val="000C0549"/>
    <w:rsid w:val="000C2560"/>
    <w:rsid w:val="000C2B77"/>
    <w:rsid w:val="000C31E7"/>
    <w:rsid w:val="000C6B9C"/>
    <w:rsid w:val="000C778C"/>
    <w:rsid w:val="000D141D"/>
    <w:rsid w:val="000D18BF"/>
    <w:rsid w:val="000D1E80"/>
    <w:rsid w:val="000D36A2"/>
    <w:rsid w:val="000D3A7F"/>
    <w:rsid w:val="000D46D8"/>
    <w:rsid w:val="000D481F"/>
    <w:rsid w:val="000D4DBA"/>
    <w:rsid w:val="000D4DC9"/>
    <w:rsid w:val="000D5DB8"/>
    <w:rsid w:val="000E074D"/>
    <w:rsid w:val="000E1ED8"/>
    <w:rsid w:val="000E1FAF"/>
    <w:rsid w:val="000E275B"/>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6BC"/>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93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572A6"/>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3EC6"/>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6E7"/>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270F"/>
    <w:rsid w:val="003F393B"/>
    <w:rsid w:val="003F3F9E"/>
    <w:rsid w:val="003F43F5"/>
    <w:rsid w:val="003F4464"/>
    <w:rsid w:val="003F48B1"/>
    <w:rsid w:val="003F4BB7"/>
    <w:rsid w:val="003F67C1"/>
    <w:rsid w:val="0040048F"/>
    <w:rsid w:val="00400F36"/>
    <w:rsid w:val="0040185B"/>
    <w:rsid w:val="00401898"/>
    <w:rsid w:val="004021D2"/>
    <w:rsid w:val="004036D6"/>
    <w:rsid w:val="00404341"/>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4D19"/>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1F0E"/>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842"/>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89A"/>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223"/>
    <w:rsid w:val="005D3389"/>
    <w:rsid w:val="005D37F6"/>
    <w:rsid w:val="005D43EF"/>
    <w:rsid w:val="005D44F8"/>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42F7"/>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6F20"/>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92"/>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27D05"/>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45F67"/>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36F"/>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5ED7"/>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C66"/>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38CB"/>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1AB"/>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6B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1664"/>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00CA"/>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B34"/>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899"/>
    <w:rsid w:val="009B1A72"/>
    <w:rsid w:val="009B391E"/>
    <w:rsid w:val="009B3E4F"/>
    <w:rsid w:val="009B4331"/>
    <w:rsid w:val="009B4A68"/>
    <w:rsid w:val="009B5A1A"/>
    <w:rsid w:val="009B7225"/>
    <w:rsid w:val="009B74D0"/>
    <w:rsid w:val="009C16AD"/>
    <w:rsid w:val="009C1A01"/>
    <w:rsid w:val="009C3042"/>
    <w:rsid w:val="009C3461"/>
    <w:rsid w:val="009C3B06"/>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AB1"/>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86867"/>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793"/>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0964"/>
    <w:rsid w:val="00B21E83"/>
    <w:rsid w:val="00B22F24"/>
    <w:rsid w:val="00B22F6A"/>
    <w:rsid w:val="00B234E0"/>
    <w:rsid w:val="00B2414F"/>
    <w:rsid w:val="00B2474F"/>
    <w:rsid w:val="00B25238"/>
    <w:rsid w:val="00B2536D"/>
    <w:rsid w:val="00B26014"/>
    <w:rsid w:val="00B27EB2"/>
    <w:rsid w:val="00B3052E"/>
    <w:rsid w:val="00B30B33"/>
    <w:rsid w:val="00B30CA0"/>
    <w:rsid w:val="00B30E0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202D"/>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63F"/>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973B2"/>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A7EDC"/>
    <w:rsid w:val="00CB20BC"/>
    <w:rsid w:val="00CB32F4"/>
    <w:rsid w:val="00CB34A5"/>
    <w:rsid w:val="00CB3D5F"/>
    <w:rsid w:val="00CB4DA0"/>
    <w:rsid w:val="00CB4DBB"/>
    <w:rsid w:val="00CB50A4"/>
    <w:rsid w:val="00CB5489"/>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278"/>
    <w:rsid w:val="00CF0AA7"/>
    <w:rsid w:val="00CF151D"/>
    <w:rsid w:val="00CF1C00"/>
    <w:rsid w:val="00CF3DAA"/>
    <w:rsid w:val="00CF3F29"/>
    <w:rsid w:val="00CF4428"/>
    <w:rsid w:val="00CF761E"/>
    <w:rsid w:val="00D00F11"/>
    <w:rsid w:val="00D01104"/>
    <w:rsid w:val="00D01248"/>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14D"/>
    <w:rsid w:val="00D21E7F"/>
    <w:rsid w:val="00D222C6"/>
    <w:rsid w:val="00D22593"/>
    <w:rsid w:val="00D246B0"/>
    <w:rsid w:val="00D252BB"/>
    <w:rsid w:val="00D25385"/>
    <w:rsid w:val="00D2555F"/>
    <w:rsid w:val="00D25EE8"/>
    <w:rsid w:val="00D26AFA"/>
    <w:rsid w:val="00D30F6C"/>
    <w:rsid w:val="00D31112"/>
    <w:rsid w:val="00D321C3"/>
    <w:rsid w:val="00D342B6"/>
    <w:rsid w:val="00D34918"/>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88A"/>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4CC"/>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037"/>
    <w:rsid w:val="00DC59A6"/>
    <w:rsid w:val="00DC5C20"/>
    <w:rsid w:val="00DC7C2B"/>
    <w:rsid w:val="00DD12E9"/>
    <w:rsid w:val="00DD1F55"/>
    <w:rsid w:val="00DD25AD"/>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2ECB"/>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9F4"/>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3D44"/>
    <w:rsid w:val="00EC57B9"/>
    <w:rsid w:val="00EC6A44"/>
    <w:rsid w:val="00EC6EEF"/>
    <w:rsid w:val="00ED09D8"/>
    <w:rsid w:val="00ED2A82"/>
    <w:rsid w:val="00ED2E52"/>
    <w:rsid w:val="00ED32DB"/>
    <w:rsid w:val="00ED39F8"/>
    <w:rsid w:val="00ED3D5C"/>
    <w:rsid w:val="00ED424A"/>
    <w:rsid w:val="00ED4253"/>
    <w:rsid w:val="00ED43A6"/>
    <w:rsid w:val="00ED48D1"/>
    <w:rsid w:val="00EE091C"/>
    <w:rsid w:val="00EE1BC2"/>
    <w:rsid w:val="00EE1F37"/>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1E9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146239"/>
    <w:rsid w:val="03BD3559"/>
    <w:rsid w:val="03CC3A64"/>
    <w:rsid w:val="04E478AB"/>
    <w:rsid w:val="05DE1D7F"/>
    <w:rsid w:val="05FD31FE"/>
    <w:rsid w:val="064C4F63"/>
    <w:rsid w:val="069D44BA"/>
    <w:rsid w:val="075A2A7B"/>
    <w:rsid w:val="07B92A24"/>
    <w:rsid w:val="07FB5644"/>
    <w:rsid w:val="0822758F"/>
    <w:rsid w:val="08313B80"/>
    <w:rsid w:val="083D72E7"/>
    <w:rsid w:val="089E41C2"/>
    <w:rsid w:val="08CC44AB"/>
    <w:rsid w:val="097F5F89"/>
    <w:rsid w:val="098A0C99"/>
    <w:rsid w:val="0A477811"/>
    <w:rsid w:val="0ABB67CE"/>
    <w:rsid w:val="0AD83E1A"/>
    <w:rsid w:val="0C2C44D7"/>
    <w:rsid w:val="0C991B8E"/>
    <w:rsid w:val="0CB83490"/>
    <w:rsid w:val="0D057A5C"/>
    <w:rsid w:val="0D400D8D"/>
    <w:rsid w:val="0D427B70"/>
    <w:rsid w:val="0DF4150B"/>
    <w:rsid w:val="0E713D6C"/>
    <w:rsid w:val="0E9D5567"/>
    <w:rsid w:val="0ED416BC"/>
    <w:rsid w:val="0F5C5F40"/>
    <w:rsid w:val="0FB26250"/>
    <w:rsid w:val="10033806"/>
    <w:rsid w:val="10124978"/>
    <w:rsid w:val="10C40664"/>
    <w:rsid w:val="11B20C9C"/>
    <w:rsid w:val="12416A8A"/>
    <w:rsid w:val="12F1377A"/>
    <w:rsid w:val="12F8325C"/>
    <w:rsid w:val="14B55E2A"/>
    <w:rsid w:val="151A0933"/>
    <w:rsid w:val="151E1392"/>
    <w:rsid w:val="16226CEC"/>
    <w:rsid w:val="16957BFE"/>
    <w:rsid w:val="1783171A"/>
    <w:rsid w:val="1841335F"/>
    <w:rsid w:val="1884367B"/>
    <w:rsid w:val="18AD3CAC"/>
    <w:rsid w:val="18F3458F"/>
    <w:rsid w:val="194A5B2D"/>
    <w:rsid w:val="198055B9"/>
    <w:rsid w:val="19AE3215"/>
    <w:rsid w:val="1A7D5B72"/>
    <w:rsid w:val="1AA5161F"/>
    <w:rsid w:val="1AED33BC"/>
    <w:rsid w:val="1BC2609B"/>
    <w:rsid w:val="1BC917BB"/>
    <w:rsid w:val="1CE53D54"/>
    <w:rsid w:val="1D171BC4"/>
    <w:rsid w:val="1D845F5A"/>
    <w:rsid w:val="1D9E7C25"/>
    <w:rsid w:val="1DE166EC"/>
    <w:rsid w:val="1E572DBA"/>
    <w:rsid w:val="1E780B21"/>
    <w:rsid w:val="1EA62A71"/>
    <w:rsid w:val="1EF36325"/>
    <w:rsid w:val="1F7C434C"/>
    <w:rsid w:val="1FCA667D"/>
    <w:rsid w:val="20EA51D1"/>
    <w:rsid w:val="210C3C73"/>
    <w:rsid w:val="220E2ECD"/>
    <w:rsid w:val="229B58CD"/>
    <w:rsid w:val="23454FED"/>
    <w:rsid w:val="23640E89"/>
    <w:rsid w:val="237E41B7"/>
    <w:rsid w:val="238E1A06"/>
    <w:rsid w:val="23A21C95"/>
    <w:rsid w:val="23B7553F"/>
    <w:rsid w:val="25A42B28"/>
    <w:rsid w:val="25EC0A3E"/>
    <w:rsid w:val="267403B3"/>
    <w:rsid w:val="277E407E"/>
    <w:rsid w:val="27F15D9C"/>
    <w:rsid w:val="28074863"/>
    <w:rsid w:val="28AE4A0B"/>
    <w:rsid w:val="29205AB8"/>
    <w:rsid w:val="29E9507F"/>
    <w:rsid w:val="2AFF3EFD"/>
    <w:rsid w:val="2B902294"/>
    <w:rsid w:val="2BF4376B"/>
    <w:rsid w:val="2C03670A"/>
    <w:rsid w:val="2C4B6CBA"/>
    <w:rsid w:val="2CAC18DC"/>
    <w:rsid w:val="2CAE5761"/>
    <w:rsid w:val="2CD92CE4"/>
    <w:rsid w:val="2CE92B0D"/>
    <w:rsid w:val="2CED5DE2"/>
    <w:rsid w:val="2D2C6371"/>
    <w:rsid w:val="2D9F34AE"/>
    <w:rsid w:val="2E016B8B"/>
    <w:rsid w:val="2E292A27"/>
    <w:rsid w:val="2E784A5D"/>
    <w:rsid w:val="30C56C11"/>
    <w:rsid w:val="30C67B9E"/>
    <w:rsid w:val="318E61B1"/>
    <w:rsid w:val="31BA7E21"/>
    <w:rsid w:val="31D05CA5"/>
    <w:rsid w:val="32CF408C"/>
    <w:rsid w:val="3375548A"/>
    <w:rsid w:val="33A14D9B"/>
    <w:rsid w:val="33F21B00"/>
    <w:rsid w:val="33F349BE"/>
    <w:rsid w:val="34170FAE"/>
    <w:rsid w:val="34485DEA"/>
    <w:rsid w:val="345A65C6"/>
    <w:rsid w:val="3552479E"/>
    <w:rsid w:val="35CA224F"/>
    <w:rsid w:val="35DC341E"/>
    <w:rsid w:val="366F4A0A"/>
    <w:rsid w:val="36AB200D"/>
    <w:rsid w:val="37043F2F"/>
    <w:rsid w:val="373D332D"/>
    <w:rsid w:val="3759692C"/>
    <w:rsid w:val="38086121"/>
    <w:rsid w:val="381E5863"/>
    <w:rsid w:val="38A108C0"/>
    <w:rsid w:val="393A778B"/>
    <w:rsid w:val="3A4F2DF7"/>
    <w:rsid w:val="3A6A78BF"/>
    <w:rsid w:val="3AD76819"/>
    <w:rsid w:val="3B55051D"/>
    <w:rsid w:val="3B7A2455"/>
    <w:rsid w:val="3BE528E8"/>
    <w:rsid w:val="3C041E8C"/>
    <w:rsid w:val="3C4B6B70"/>
    <w:rsid w:val="3C944DED"/>
    <w:rsid w:val="3CB26D83"/>
    <w:rsid w:val="3CB272D6"/>
    <w:rsid w:val="3D977566"/>
    <w:rsid w:val="3E361C14"/>
    <w:rsid w:val="3E4167E0"/>
    <w:rsid w:val="3E5D2F50"/>
    <w:rsid w:val="3E861031"/>
    <w:rsid w:val="3EC15E1C"/>
    <w:rsid w:val="3EE82E77"/>
    <w:rsid w:val="3F50730D"/>
    <w:rsid w:val="3F732CAD"/>
    <w:rsid w:val="3FF82C7A"/>
    <w:rsid w:val="4030015B"/>
    <w:rsid w:val="415660D0"/>
    <w:rsid w:val="429C4E56"/>
    <w:rsid w:val="431C4B3E"/>
    <w:rsid w:val="437301A1"/>
    <w:rsid w:val="44102511"/>
    <w:rsid w:val="443D2336"/>
    <w:rsid w:val="444C5CD1"/>
    <w:rsid w:val="44B36F30"/>
    <w:rsid w:val="44CA3B5A"/>
    <w:rsid w:val="452813D5"/>
    <w:rsid w:val="45292431"/>
    <w:rsid w:val="467455F3"/>
    <w:rsid w:val="4684023D"/>
    <w:rsid w:val="46A53C1A"/>
    <w:rsid w:val="46B34489"/>
    <w:rsid w:val="47320719"/>
    <w:rsid w:val="476969BE"/>
    <w:rsid w:val="476A15C7"/>
    <w:rsid w:val="47794455"/>
    <w:rsid w:val="478059BF"/>
    <w:rsid w:val="478B3EE5"/>
    <w:rsid w:val="481945C5"/>
    <w:rsid w:val="48935D8C"/>
    <w:rsid w:val="49E66767"/>
    <w:rsid w:val="4A1E02D0"/>
    <w:rsid w:val="4A2F1DAC"/>
    <w:rsid w:val="4B0C1485"/>
    <w:rsid w:val="4B4A4C26"/>
    <w:rsid w:val="4B800CB0"/>
    <w:rsid w:val="4B954C73"/>
    <w:rsid w:val="4BA97879"/>
    <w:rsid w:val="4C707EA5"/>
    <w:rsid w:val="4C7A4EC9"/>
    <w:rsid w:val="4CC5508E"/>
    <w:rsid w:val="4D1E20DD"/>
    <w:rsid w:val="4DD827C4"/>
    <w:rsid w:val="4E081BA3"/>
    <w:rsid w:val="4E1F58F6"/>
    <w:rsid w:val="4E2F02A1"/>
    <w:rsid w:val="4E95307F"/>
    <w:rsid w:val="4F020894"/>
    <w:rsid w:val="500A299E"/>
    <w:rsid w:val="501101D8"/>
    <w:rsid w:val="508D24D4"/>
    <w:rsid w:val="509362D9"/>
    <w:rsid w:val="50A755B3"/>
    <w:rsid w:val="50C1689E"/>
    <w:rsid w:val="50CA5D57"/>
    <w:rsid w:val="50D911DD"/>
    <w:rsid w:val="50DE1AD8"/>
    <w:rsid w:val="50E53737"/>
    <w:rsid w:val="51216397"/>
    <w:rsid w:val="51432C46"/>
    <w:rsid w:val="5254321E"/>
    <w:rsid w:val="528C5CD4"/>
    <w:rsid w:val="52EF4BB8"/>
    <w:rsid w:val="53BD2777"/>
    <w:rsid w:val="546F5916"/>
    <w:rsid w:val="54BE1FB9"/>
    <w:rsid w:val="54F25B8C"/>
    <w:rsid w:val="55BA5175"/>
    <w:rsid w:val="567B46F5"/>
    <w:rsid w:val="568D7462"/>
    <w:rsid w:val="5718422D"/>
    <w:rsid w:val="577E7371"/>
    <w:rsid w:val="58127108"/>
    <w:rsid w:val="58206E3F"/>
    <w:rsid w:val="588F08FA"/>
    <w:rsid w:val="592A2799"/>
    <w:rsid w:val="597A4D65"/>
    <w:rsid w:val="59936F36"/>
    <w:rsid w:val="5AAA5F8F"/>
    <w:rsid w:val="5AB413F5"/>
    <w:rsid w:val="5B0166D3"/>
    <w:rsid w:val="5B3B5D8B"/>
    <w:rsid w:val="5B3D21DD"/>
    <w:rsid w:val="5C0E3A34"/>
    <w:rsid w:val="5D4D4E63"/>
    <w:rsid w:val="5E484261"/>
    <w:rsid w:val="5E787B5E"/>
    <w:rsid w:val="5EA67242"/>
    <w:rsid w:val="5F3F4D92"/>
    <w:rsid w:val="60877C85"/>
    <w:rsid w:val="60AE1A84"/>
    <w:rsid w:val="60B1208A"/>
    <w:rsid w:val="61120F87"/>
    <w:rsid w:val="61912DFD"/>
    <w:rsid w:val="61C845D6"/>
    <w:rsid w:val="61EA20BC"/>
    <w:rsid w:val="62ED1197"/>
    <w:rsid w:val="632012D3"/>
    <w:rsid w:val="635F1F03"/>
    <w:rsid w:val="636A56B3"/>
    <w:rsid w:val="63A32486"/>
    <w:rsid w:val="63A57F5B"/>
    <w:rsid w:val="63D36139"/>
    <w:rsid w:val="64505B48"/>
    <w:rsid w:val="653E60A6"/>
    <w:rsid w:val="668F1591"/>
    <w:rsid w:val="670929A7"/>
    <w:rsid w:val="675B044D"/>
    <w:rsid w:val="678B0CDC"/>
    <w:rsid w:val="67BD6E7C"/>
    <w:rsid w:val="67E52CAD"/>
    <w:rsid w:val="681E7A7D"/>
    <w:rsid w:val="685873C5"/>
    <w:rsid w:val="68DA4AC9"/>
    <w:rsid w:val="68EF03B2"/>
    <w:rsid w:val="693D2D8D"/>
    <w:rsid w:val="6A0677D5"/>
    <w:rsid w:val="6A3F770C"/>
    <w:rsid w:val="6AC552B3"/>
    <w:rsid w:val="6AEB39DA"/>
    <w:rsid w:val="6AFC2413"/>
    <w:rsid w:val="6C3A7A22"/>
    <w:rsid w:val="6D805E16"/>
    <w:rsid w:val="6E0865E0"/>
    <w:rsid w:val="6E8E12EF"/>
    <w:rsid w:val="6F062018"/>
    <w:rsid w:val="6F1E24F8"/>
    <w:rsid w:val="6F3F764E"/>
    <w:rsid w:val="6F775AB8"/>
    <w:rsid w:val="71346F76"/>
    <w:rsid w:val="713D2F00"/>
    <w:rsid w:val="71CD6EB9"/>
    <w:rsid w:val="722E1B2B"/>
    <w:rsid w:val="72674F59"/>
    <w:rsid w:val="729C013F"/>
    <w:rsid w:val="72D4114D"/>
    <w:rsid w:val="731A01C7"/>
    <w:rsid w:val="732B4FE5"/>
    <w:rsid w:val="73382DAE"/>
    <w:rsid w:val="73F11D8D"/>
    <w:rsid w:val="746E74A6"/>
    <w:rsid w:val="74AC783C"/>
    <w:rsid w:val="753320BC"/>
    <w:rsid w:val="7681674A"/>
    <w:rsid w:val="774737A1"/>
    <w:rsid w:val="77EC3D7F"/>
    <w:rsid w:val="787228C6"/>
    <w:rsid w:val="78C328A3"/>
    <w:rsid w:val="796D5C1C"/>
    <w:rsid w:val="7A6042E4"/>
    <w:rsid w:val="7A8512DD"/>
    <w:rsid w:val="7AB913E9"/>
    <w:rsid w:val="7B11404E"/>
    <w:rsid w:val="7B493B7A"/>
    <w:rsid w:val="7BFB3193"/>
    <w:rsid w:val="7D010ED1"/>
    <w:rsid w:val="7D947241"/>
    <w:rsid w:val="7EA90D0F"/>
    <w:rsid w:val="7EC93B4D"/>
    <w:rsid w:val="7EF32F80"/>
    <w:rsid w:val="7FB0205B"/>
    <w:rsid w:val="7FD32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eastAsia="楷体"/>
      <w:b/>
      <w:sz w:val="28"/>
    </w:rPr>
  </w:style>
  <w:style w:type="paragraph" w:styleId="22">
    <w:name w:val="Body Text Indent 3"/>
    <w:basedOn w:val="1"/>
    <w:qFormat/>
    <w:uiPriority w:val="99"/>
    <w:pPr>
      <w:ind w:firstLine="420" w:firstLineChars="200"/>
    </w:pPr>
    <w:rPr>
      <w:rFonts w:eastAsia="楷体_GB2312"/>
    </w:rPr>
  </w:style>
  <w:style w:type="paragraph" w:styleId="23">
    <w:name w:val="toc 2"/>
    <w:basedOn w:val="1"/>
    <w:next w:val="1"/>
    <w:semiHidden/>
    <w:qFormat/>
    <w:uiPriority w:val="0"/>
    <w:pPr>
      <w:ind w:left="420" w:leftChars="200"/>
    </w:pPr>
    <w:rPr>
      <w:szCs w:val="20"/>
    </w:rPr>
  </w:style>
  <w:style w:type="paragraph" w:styleId="24">
    <w:name w:val="Body Text 2"/>
    <w:basedOn w:val="1"/>
    <w:qFormat/>
    <w:uiPriority w:val="99"/>
    <w:pPr>
      <w:spacing w:line="440" w:lineRule="exact"/>
    </w:pPr>
    <w:rPr>
      <w:rFonts w:ascii="楷体_GB2312"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43"/>
    <w:qFormat/>
    <w:uiPriority w:val="0"/>
    <w:pPr>
      <w:spacing w:before="240" w:after="60"/>
      <w:jc w:val="center"/>
      <w:outlineLvl w:val="0"/>
    </w:pPr>
    <w:rPr>
      <w:rFonts w:ascii="Cambria" w:hAnsi="Cambria"/>
      <w:b/>
      <w:bCs/>
      <w:sz w:val="32"/>
      <w:szCs w:val="32"/>
    </w:rPr>
  </w:style>
  <w:style w:type="paragraph" w:styleId="27">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qFormat/>
    <w:uiPriority w:val="22"/>
    <w:rPr>
      <w:b/>
      <w:bCs/>
    </w:rPr>
  </w:style>
  <w:style w:type="character" w:styleId="32">
    <w:name w:val="page number"/>
    <w:basedOn w:val="30"/>
    <w:qFormat/>
    <w:uiPriority w:val="99"/>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字符"/>
    <w:link w:val="16"/>
    <w:qFormat/>
    <w:uiPriority w:val="0"/>
    <w:rPr>
      <w:rFonts w:ascii="宋体" w:hAnsi="Courier New" w:eastAsia="宋体"/>
      <w:kern w:val="2"/>
      <w:sz w:val="21"/>
      <w:lang w:val="en-US" w:eastAsia="zh-CN" w:bidi="ar-SA"/>
    </w:rPr>
  </w:style>
  <w:style w:type="character" w:customStyle="1" w:styleId="40">
    <w:name w:val="param-value"/>
    <w:basedOn w:val="30"/>
    <w:qFormat/>
    <w:uiPriority w:val="0"/>
  </w:style>
  <w:style w:type="character" w:customStyle="1" w:styleId="41">
    <w:name w:val="页脚 字符"/>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字符"/>
    <w:link w:val="26"/>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字符"/>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字符"/>
    <w:link w:val="20"/>
    <w:qFormat/>
    <w:uiPriority w:val="99"/>
    <w:rPr>
      <w:kern w:val="2"/>
      <w:sz w:val="18"/>
      <w:szCs w:val="18"/>
    </w:rPr>
  </w:style>
  <w:style w:type="character" w:customStyle="1" w:styleId="51">
    <w:name w:val="标题 5 字符"/>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字符"/>
    <w:link w:val="5"/>
    <w:qFormat/>
    <w:uiPriority w:val="9"/>
    <w:rPr>
      <w:rFonts w:ascii="Arial" w:hAnsi="Arial"/>
      <w:b/>
      <w:kern w:val="2"/>
      <w:sz w:val="32"/>
    </w:rPr>
  </w:style>
  <w:style w:type="character" w:customStyle="1" w:styleId="54">
    <w:name w:val="style4"/>
    <w:qFormat/>
    <w:uiPriority w:val="0"/>
  </w:style>
  <w:style w:type="character" w:customStyle="1" w:styleId="55">
    <w:name w:val="标题 4 字符"/>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字符"/>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 w:type="paragraph" w:styleId="83">
    <w:name w:val="List Paragraph"/>
    <w:basedOn w:val="1"/>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1627</Words>
  <Characters>9279</Characters>
  <Lines>77</Lines>
  <Paragraphs>21</Paragraphs>
  <TotalTime>1</TotalTime>
  <ScaleCrop>false</ScaleCrop>
  <LinksUpToDate>false</LinksUpToDate>
  <CharactersWithSpaces>10885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2019-04-28T02:51:00Z</dcterms:created>
  <dc:creator>淮阴师范学院招标办</dc:creator>
  <cp:lastModifiedBy>xiaolu1404095211</cp:lastModifiedBy>
  <cp:lastPrinted>2016-07-10T02:09:00Z</cp:lastPrinted>
  <dcterms:modified xsi:type="dcterms:W3CDTF">2019-06-13T05:54:48Z</dcterms:modified>
  <dc:title>淮阴师范学院招标文件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