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139FB">
      <w:pPr>
        <w:widowControl/>
        <w:spacing w:after="156" w:afterLines="50" w:line="400" w:lineRule="exact"/>
        <w:jc w:val="center"/>
        <w:rPr>
          <w:rFonts w:ascii="宋体" w:hAnsi="宋体" w:cs="宋体"/>
          <w:b/>
          <w:kern w:val="0"/>
          <w:sz w:val="28"/>
          <w:szCs w:val="28"/>
        </w:rPr>
      </w:pPr>
      <w:r>
        <w:rPr>
          <w:rFonts w:hint="eastAsia" w:ascii="宋体" w:hAnsi="宋体" w:cs="宋体"/>
          <w:b/>
          <w:kern w:val="0"/>
          <w:sz w:val="28"/>
          <w:szCs w:val="28"/>
        </w:rPr>
        <w:t>江苏开放大学2025年暑期校舍维修出新工程项目需求主要内容</w:t>
      </w:r>
    </w:p>
    <w:p w14:paraId="3A3D2034">
      <w:pPr>
        <w:pStyle w:val="13"/>
        <w:widowControl/>
        <w:numPr>
          <w:ilvl w:val="0"/>
          <w:numId w:val="1"/>
        </w:numPr>
        <w:spacing w:line="360" w:lineRule="auto"/>
        <w:ind w:firstLineChars="0"/>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项目名称及预算金额：</w:t>
      </w:r>
      <w:r>
        <w:rPr>
          <w:rFonts w:hint="eastAsia" w:cs="宋体" w:asciiTheme="minorEastAsia" w:hAnsiTheme="minorEastAsia" w:eastAsiaTheme="minorEastAsia"/>
          <w:b/>
          <w:kern w:val="0"/>
          <w:sz w:val="24"/>
          <w:szCs w:val="24"/>
          <w:lang w:val="en-US" w:eastAsia="zh-CN"/>
        </w:rPr>
        <w:t xml:space="preserve">江苏开放大学2025年暑期校舍维修出新工程                  </w:t>
      </w:r>
      <w:r>
        <w:rPr>
          <w:rFonts w:hint="eastAsia" w:cs="宋体" w:asciiTheme="minorEastAsia" w:hAnsiTheme="minorEastAsia" w:eastAsiaTheme="minorEastAsia"/>
          <w:b/>
          <w:color w:val="FF0000"/>
          <w:kern w:val="0"/>
          <w:sz w:val="24"/>
          <w:szCs w:val="24"/>
          <w:lang w:val="en-US" w:eastAsia="zh-CN"/>
        </w:rPr>
        <w:t>370</w:t>
      </w:r>
      <w:r>
        <w:rPr>
          <w:rFonts w:hint="eastAsia" w:cs="宋体" w:asciiTheme="minorEastAsia" w:hAnsiTheme="minorEastAsia" w:eastAsiaTheme="minorEastAsia"/>
          <w:b/>
          <w:kern w:val="0"/>
          <w:sz w:val="24"/>
          <w:szCs w:val="24"/>
          <w:lang w:val="en-US" w:eastAsia="zh-CN"/>
        </w:rPr>
        <w:t>万</w:t>
      </w:r>
    </w:p>
    <w:p w14:paraId="4DA11086">
      <w:pPr>
        <w:pStyle w:val="13"/>
        <w:widowControl/>
        <w:numPr>
          <w:ilvl w:val="0"/>
          <w:numId w:val="1"/>
        </w:numPr>
        <w:spacing w:line="360" w:lineRule="auto"/>
        <w:ind w:right="-1191" w:rightChars="-567" w:firstLineChars="0"/>
        <w:jc w:val="left"/>
        <w:rPr>
          <w:rFonts w:cs="宋体" w:asciiTheme="minorEastAsia" w:hAnsiTheme="minorEastAsia" w:eastAsiaTheme="minorEastAsia"/>
          <w:kern w:val="0"/>
          <w:sz w:val="24"/>
          <w:szCs w:val="24"/>
        </w:rPr>
      </w:pPr>
      <w:r>
        <w:rPr>
          <w:rFonts w:hint="eastAsia" w:asciiTheme="minorEastAsia" w:hAnsiTheme="minorEastAsia" w:eastAsiaTheme="minorEastAsia"/>
          <w:b/>
          <w:bCs/>
          <w:sz w:val="24"/>
          <w:szCs w:val="24"/>
        </w:rPr>
        <w:t>项目概况:</w:t>
      </w:r>
      <w:r>
        <w:rPr>
          <w:rFonts w:hint="eastAsia" w:asciiTheme="minorEastAsia" w:hAnsiTheme="minorEastAsia" w:eastAsiaTheme="minorEastAsia"/>
          <w:sz w:val="24"/>
          <w:szCs w:val="24"/>
        </w:rPr>
        <w:t xml:space="preserve"> </w:t>
      </w:r>
    </w:p>
    <w:p w14:paraId="6A7E67C1">
      <w:pPr>
        <w:pStyle w:val="13"/>
        <w:widowControl/>
        <w:numPr>
          <w:ilvl w:val="0"/>
          <w:numId w:val="0"/>
        </w:numPr>
        <w:spacing w:line="360" w:lineRule="auto"/>
        <w:ind w:leftChars="0" w:right="-1191" w:rightChars="-567"/>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en-US" w:eastAsia="zh-CN"/>
        </w:rPr>
        <w:t>1.</w:t>
      </w:r>
      <w:r>
        <w:rPr>
          <w:rFonts w:hint="eastAsia" w:cs="宋体" w:asciiTheme="minorEastAsia" w:hAnsiTheme="minorEastAsia" w:eastAsiaTheme="minorEastAsia"/>
          <w:kern w:val="0"/>
          <w:sz w:val="24"/>
          <w:szCs w:val="24"/>
        </w:rPr>
        <w:t>江苏开放大学202</w:t>
      </w:r>
      <w:r>
        <w:rPr>
          <w:rFonts w:hint="eastAsia" w:cs="宋体" w:asciiTheme="minorEastAsia" w:hAnsiTheme="minorEastAsia" w:eastAsiaTheme="minorEastAsia"/>
          <w:kern w:val="0"/>
          <w:sz w:val="24"/>
          <w:szCs w:val="24"/>
          <w:lang w:val="en-US" w:eastAsia="zh-CN"/>
        </w:rPr>
        <w:t>5</w:t>
      </w:r>
      <w:r>
        <w:rPr>
          <w:rFonts w:hint="eastAsia" w:cs="宋体" w:asciiTheme="minorEastAsia" w:hAnsiTheme="minorEastAsia" w:eastAsiaTheme="minorEastAsia"/>
          <w:kern w:val="0"/>
          <w:sz w:val="24"/>
          <w:szCs w:val="24"/>
        </w:rPr>
        <w:t>年暑期校舍维修出新工程。东校区暑期校舍维修出新工程为一标段，应天校区暑期校舍维修出新工程为二标段。</w:t>
      </w:r>
    </w:p>
    <w:p w14:paraId="13F6DBF7">
      <w:pPr>
        <w:pStyle w:val="13"/>
        <w:widowControl/>
        <w:numPr>
          <w:ilvl w:val="0"/>
          <w:numId w:val="0"/>
        </w:numPr>
        <w:spacing w:line="360" w:lineRule="auto"/>
        <w:ind w:leftChars="0" w:right="-1191" w:rightChars="-567"/>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en-US" w:eastAsia="zh-CN"/>
        </w:rPr>
        <w:t>2.</w:t>
      </w:r>
      <w:r>
        <w:rPr>
          <w:rFonts w:hint="eastAsia" w:cs="宋体" w:asciiTheme="minorEastAsia" w:hAnsiTheme="minorEastAsia" w:eastAsiaTheme="minorEastAsia"/>
          <w:kern w:val="0"/>
          <w:sz w:val="24"/>
          <w:szCs w:val="24"/>
        </w:rPr>
        <w:t>工程地点：一标段：南京市鼓楼区古平岗35-1号；二标段：南京市建邺区应天大街832号。</w:t>
      </w:r>
    </w:p>
    <w:p w14:paraId="3ADB003A">
      <w:pPr>
        <w:pStyle w:val="13"/>
        <w:widowControl/>
        <w:numPr>
          <w:ilvl w:val="0"/>
          <w:numId w:val="0"/>
        </w:numPr>
        <w:spacing w:line="360" w:lineRule="auto"/>
        <w:ind w:leftChars="0" w:right="-1191" w:rightChars="-567"/>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en-US" w:eastAsia="zh-CN"/>
        </w:rPr>
        <w:t>3.</w:t>
      </w:r>
      <w:r>
        <w:rPr>
          <w:rFonts w:hint="eastAsia" w:cs="宋体" w:asciiTheme="minorEastAsia" w:hAnsiTheme="minorEastAsia" w:eastAsiaTheme="minorEastAsia"/>
          <w:kern w:val="0"/>
          <w:sz w:val="24"/>
          <w:szCs w:val="24"/>
        </w:rPr>
        <w:t>工程内容：一标段：东校区暑期校舍维修出新工程，详见工程量清单；二标段：应天校区暑期校舍维修出新工程，详见工程量清单。</w:t>
      </w:r>
    </w:p>
    <w:p w14:paraId="725CD041">
      <w:pPr>
        <w:pStyle w:val="13"/>
        <w:widowControl/>
        <w:numPr>
          <w:ilvl w:val="0"/>
          <w:numId w:val="0"/>
        </w:numPr>
        <w:spacing w:line="360" w:lineRule="auto"/>
        <w:ind w:leftChars="0" w:right="-1191" w:rightChars="-567"/>
        <w:jc w:val="left"/>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4.最高限价；一标段限价</w:t>
      </w:r>
      <w:r>
        <w:rPr>
          <w:rFonts w:hint="eastAsia" w:cs="宋体" w:asciiTheme="minorEastAsia" w:hAnsiTheme="minorEastAsia" w:eastAsiaTheme="minorEastAsia"/>
          <w:color w:val="FF0000"/>
          <w:kern w:val="0"/>
          <w:sz w:val="24"/>
          <w:szCs w:val="24"/>
          <w:lang w:val="en-US" w:eastAsia="zh-CN"/>
        </w:rPr>
        <w:t>130</w:t>
      </w:r>
      <w:r>
        <w:rPr>
          <w:rFonts w:hint="eastAsia" w:cs="宋体" w:asciiTheme="minorEastAsia" w:hAnsiTheme="minorEastAsia" w:eastAsiaTheme="minorEastAsia"/>
          <w:kern w:val="0"/>
          <w:sz w:val="24"/>
          <w:szCs w:val="24"/>
          <w:lang w:val="en-US" w:eastAsia="zh-CN"/>
        </w:rPr>
        <w:t>万元，二标段限价</w:t>
      </w:r>
      <w:r>
        <w:rPr>
          <w:rFonts w:hint="eastAsia" w:cs="宋体" w:asciiTheme="minorEastAsia" w:hAnsiTheme="minorEastAsia" w:eastAsiaTheme="minorEastAsia"/>
          <w:color w:val="FF0000"/>
          <w:kern w:val="0"/>
          <w:sz w:val="24"/>
          <w:szCs w:val="24"/>
          <w:lang w:val="en-US" w:eastAsia="zh-CN"/>
        </w:rPr>
        <w:t>240</w:t>
      </w:r>
      <w:r>
        <w:rPr>
          <w:rFonts w:hint="eastAsia" w:cs="宋体" w:asciiTheme="minorEastAsia" w:hAnsiTheme="minorEastAsia" w:eastAsiaTheme="minorEastAsia"/>
          <w:kern w:val="0"/>
          <w:sz w:val="24"/>
          <w:szCs w:val="24"/>
          <w:lang w:val="en-US" w:eastAsia="zh-CN"/>
        </w:rPr>
        <w:t>万元。</w:t>
      </w:r>
    </w:p>
    <w:p w14:paraId="6FFA0070">
      <w:pPr>
        <w:pStyle w:val="13"/>
        <w:widowControl/>
        <w:numPr>
          <w:ilvl w:val="0"/>
          <w:numId w:val="1"/>
        </w:numPr>
        <w:spacing w:line="360" w:lineRule="auto"/>
        <w:ind w:right="-1191" w:rightChars="-567" w:firstLineChars="0"/>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资格条件：</w:t>
      </w:r>
    </w:p>
    <w:p w14:paraId="000335CC">
      <w:pPr>
        <w:widowControl/>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（一）满足《中华人民共和国政府采购法》第二十二条规定：</w:t>
      </w:r>
    </w:p>
    <w:p w14:paraId="1719AD55">
      <w:pPr>
        <w:widowControl/>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1、供应商应具有独立法人资格（提供法人或者其他组织的营业执照复印件加盖公章）；</w:t>
      </w:r>
    </w:p>
    <w:p w14:paraId="197BB272">
      <w:pPr>
        <w:widowControl/>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2、具有良好的商业信誉和健全的财务会计制度（提供本次采购活动前的财务状况报告复印件加盖公章，法人或者其他组织成立未满一年的可以不提供）；</w:t>
      </w:r>
    </w:p>
    <w:p w14:paraId="47A7007C">
      <w:pPr>
        <w:widowControl/>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3、具有履行合同所必需的设备和专业技术能力（提供履行合同所必需的设备和专业技术能力的声明及证明材料复印件加盖公章）；</w:t>
      </w:r>
    </w:p>
    <w:p w14:paraId="0B1DD5EA">
      <w:pPr>
        <w:widowControl/>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4、有依法缴纳税收和社会保障资金的良好记录（提供参加本次采购活动前一年内至少一个月依法缴纳税收和社会保障资金的相关材料复印件加盖公章）；</w:t>
      </w:r>
    </w:p>
    <w:p w14:paraId="76592DC0">
      <w:pPr>
        <w:widowControl/>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5、参加本项目前三年内，在经营活动中没有重大违法记录（提供承诺书并加盖公章）；</w:t>
      </w:r>
    </w:p>
    <w:p w14:paraId="697A3C65">
      <w:pPr>
        <w:widowControl/>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6、法律、行政法规规定的其他条件。</w:t>
      </w:r>
    </w:p>
    <w:p w14:paraId="27467795">
      <w:pPr>
        <w:widowControl/>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（二）落实政府采购政策需满足的资格要求： </w:t>
      </w:r>
    </w:p>
    <w:p w14:paraId="1C51E626">
      <w:pPr>
        <w:widowControl/>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无（本项目非专门面向中小微企业）</w:t>
      </w:r>
    </w:p>
    <w:p w14:paraId="15AF2C8B">
      <w:pPr>
        <w:widowControl/>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（三）采购人根据采购项目的特殊要求规定的特定条件：</w:t>
      </w:r>
    </w:p>
    <w:p w14:paraId="7002CE68">
      <w:pPr>
        <w:widowControl/>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（1）供应商具有施工总承包建筑工程三级(含)以上或者专业承包建筑装修装饰工程二级(含)以上（提供证书复印件加盖供应商公章）；</w:t>
      </w:r>
    </w:p>
    <w:p w14:paraId="2A5BFE63">
      <w:pPr>
        <w:widowControl/>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（2）项目负责人具有注册建造师证建筑工程二级(含)以上资质且具有安全生产考核合格证书（B类）（提供有效的证书复印件加盖公章）； </w:t>
      </w:r>
    </w:p>
    <w:p w14:paraId="1DAA4FC9">
      <w:pPr>
        <w:widowControl/>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（3）供应商必须提供拟投入本工程项目经理与供应商签订的有效劳动合同、社保机构出具的近半年（202</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年11月-202</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年4月）供应商为其缴纳的养老保险缴费证明（需明确缴费月份、个人姓名、缴费单位）材料并加盖社保中心章或社保中心参保缴费证明电子专用章（提供证明材料）。</w:t>
      </w:r>
    </w:p>
    <w:p w14:paraId="02DA692E">
      <w:pPr>
        <w:widowControl/>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（4）供应商必须提供所报本工程的项目经理无在建工程的承诺书。</w:t>
      </w:r>
    </w:p>
    <w:p w14:paraId="69201E16">
      <w:pPr>
        <w:widowControl/>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（5）拒绝下述供应商参加本次采购活动：</w:t>
      </w:r>
    </w:p>
    <w:p w14:paraId="5C9CECD6">
      <w:pPr>
        <w:widowControl/>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1）供应商单位负责人为同一人或者存在直接控股、管理关系的不同供应商，不得参加同一合同项下的政府采购活动。</w:t>
      </w:r>
    </w:p>
    <w:p w14:paraId="2DB20561">
      <w:pPr>
        <w:widowControl/>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2）凡为采购项目提供整体设计、规范编制或者项目管理、监理、检测等服务的供应商，不得再参加本项目的采购活动。</w:t>
      </w:r>
    </w:p>
    <w:p w14:paraId="1D232AE3">
      <w:pPr>
        <w:widowControl/>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3）供应商被“信用中国”网站(www.creditchina.gov.cn)、“中国政府采购网”(www.ccgp.gov.cn)  列入失信被执行人、重大税收违法案件当事人名单、政府采购严重违法失信行为记录名单。</w:t>
      </w:r>
    </w:p>
    <w:p w14:paraId="1193D5B0">
      <w:pPr>
        <w:pStyle w:val="13"/>
        <w:numPr>
          <w:ilvl w:val="0"/>
          <w:numId w:val="1"/>
        </w:numPr>
        <w:spacing w:line="360" w:lineRule="auto"/>
        <w:ind w:right="-1191" w:rightChars="-567" w:firstLineChars="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b/>
          <w:kern w:val="0"/>
          <w:sz w:val="24"/>
          <w:szCs w:val="24"/>
        </w:rPr>
        <w:t>工程内容：</w:t>
      </w:r>
      <w:r>
        <w:rPr>
          <w:rFonts w:hint="eastAsia" w:cs="宋体" w:asciiTheme="minorEastAsia" w:hAnsiTheme="minorEastAsia" w:eastAsiaTheme="minorEastAsia"/>
          <w:b w:val="0"/>
          <w:bCs/>
          <w:kern w:val="0"/>
          <w:sz w:val="24"/>
          <w:szCs w:val="24"/>
          <w:lang w:val="en-US" w:eastAsia="zh-CN"/>
        </w:rPr>
        <w:t>详见工程量清单</w:t>
      </w:r>
      <w:r>
        <w:rPr>
          <w:rFonts w:hint="eastAsia" w:cs="宋体" w:asciiTheme="minorEastAsia" w:hAnsiTheme="minorEastAsia" w:eastAsiaTheme="minorEastAsia"/>
          <w:kern w:val="0"/>
          <w:sz w:val="24"/>
          <w:szCs w:val="24"/>
        </w:rPr>
        <w:t>。</w:t>
      </w:r>
    </w:p>
    <w:p w14:paraId="5B7959DE">
      <w:pPr>
        <w:pStyle w:val="13"/>
        <w:numPr>
          <w:ilvl w:val="0"/>
          <w:numId w:val="1"/>
        </w:numPr>
        <w:spacing w:line="360" w:lineRule="auto"/>
        <w:ind w:right="-1191" w:rightChars="-567" w:firstLineChars="0"/>
        <w:rPr>
          <w:rFonts w:hint="eastAsia"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报价要求</w:t>
      </w:r>
    </w:p>
    <w:p w14:paraId="5894A9F1">
      <w:pPr>
        <w:pStyle w:val="13"/>
        <w:widowControl w:val="0"/>
        <w:numPr>
          <w:ilvl w:val="0"/>
          <w:numId w:val="0"/>
        </w:numPr>
        <w:spacing w:line="360" w:lineRule="auto"/>
        <w:ind w:right="-1191" w:rightChars="-567"/>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1、本工程采用固定单价合同。</w:t>
      </w:r>
    </w:p>
    <w:p w14:paraId="1F6BC301">
      <w:pPr>
        <w:pStyle w:val="13"/>
        <w:widowControl w:val="0"/>
        <w:numPr>
          <w:ilvl w:val="0"/>
          <w:numId w:val="0"/>
        </w:numPr>
        <w:spacing w:line="360" w:lineRule="auto"/>
        <w:ind w:right="-1191" w:rightChars="-567"/>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单价不可调，工程量根据工程施工实际情况，竣工并经审计后按实结算。</w:t>
      </w:r>
    </w:p>
    <w:p w14:paraId="4FF578F6">
      <w:pPr>
        <w:pStyle w:val="13"/>
        <w:widowControl w:val="0"/>
        <w:numPr>
          <w:ilvl w:val="0"/>
          <w:numId w:val="0"/>
        </w:numPr>
        <w:spacing w:line="360" w:lineRule="auto"/>
        <w:ind w:right="-1191" w:rightChars="-567"/>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2、投标人投标报价不得低于其成本价。</w:t>
      </w:r>
    </w:p>
    <w:p w14:paraId="02AA8D3B">
      <w:pPr>
        <w:pStyle w:val="13"/>
        <w:widowControl w:val="0"/>
        <w:numPr>
          <w:ilvl w:val="0"/>
          <w:numId w:val="0"/>
        </w:numPr>
        <w:spacing w:line="360" w:lineRule="auto"/>
        <w:ind w:right="-1191" w:rightChars="-567"/>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工程中标价即为合同价，投标报价应包括人工费、材料费、机械设备费、运输费、施工水电费、验收费、技术服务费（包括技术资料、图纸提供等）、保险费、规费及税金等一切费用（即报价内容均涵盖报价要求之一切费用和伴随服务）。</w:t>
      </w:r>
    </w:p>
    <w:p w14:paraId="73B732ED">
      <w:pPr>
        <w:pStyle w:val="13"/>
        <w:widowControl w:val="0"/>
        <w:numPr>
          <w:ilvl w:val="0"/>
          <w:numId w:val="0"/>
        </w:numPr>
        <w:spacing w:line="360" w:lineRule="auto"/>
        <w:ind w:right="-1191" w:rightChars="-567"/>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3、投标人必须按照招标文件规定的报价编制要求、工程量清单格式及要求进行报价，除了工程量清单报价，招标人不再接受其他任何形式的报价及说明（如降价函、报价修正函等）。</w:t>
      </w:r>
    </w:p>
    <w:p w14:paraId="6B70999F">
      <w:pPr>
        <w:pStyle w:val="13"/>
        <w:widowControl w:val="0"/>
        <w:numPr>
          <w:ilvl w:val="0"/>
          <w:numId w:val="0"/>
        </w:numPr>
        <w:spacing w:line="360" w:lineRule="auto"/>
        <w:ind w:right="-1191" w:rightChars="-567"/>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供应商应充分考虑所有可能影响到报价的价格及政策等风险因素，根据工程量清单报各项单价，一旦中标，单价不予调整，工程竣工验收后，招标人按照中标人的投标预算单价和实际完成工程量送审，并按审计后总价进行项目结算。</w:t>
      </w:r>
    </w:p>
    <w:p w14:paraId="0F213C11">
      <w:pPr>
        <w:pStyle w:val="13"/>
        <w:numPr>
          <w:ilvl w:val="0"/>
          <w:numId w:val="1"/>
        </w:numPr>
        <w:spacing w:line="360" w:lineRule="auto"/>
        <w:ind w:right="-1191" w:rightChars="-567" w:firstLineChars="0"/>
        <w:rPr>
          <w:rFonts w:hint="eastAsia"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其他</w:t>
      </w:r>
      <w:r>
        <w:rPr>
          <w:rFonts w:hint="eastAsia" w:cs="宋体" w:asciiTheme="minorEastAsia" w:hAnsiTheme="minorEastAsia" w:eastAsiaTheme="minorEastAsia"/>
          <w:b/>
          <w:kern w:val="0"/>
          <w:sz w:val="24"/>
          <w:szCs w:val="24"/>
          <w:lang w:val="en-US" w:eastAsia="zh-CN"/>
        </w:rPr>
        <w:t>要求</w:t>
      </w:r>
    </w:p>
    <w:p w14:paraId="090A1B17">
      <w:pPr>
        <w:pStyle w:val="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1、本工程项目总工期不超过</w:t>
      </w:r>
      <w:r>
        <w:rPr>
          <w:rFonts w:hint="eastAsia" w:asciiTheme="minorEastAsia" w:hAnsiTheme="minorEastAsia" w:eastAsiaTheme="minorEastAsia" w:cstheme="minorEastAsia"/>
          <w:sz w:val="24"/>
          <w:szCs w:val="24"/>
          <w:u w:val="single"/>
        </w:rPr>
        <w:t xml:space="preserve">  30 </w:t>
      </w:r>
      <w:r>
        <w:rPr>
          <w:rFonts w:hint="eastAsia" w:asciiTheme="minorEastAsia" w:hAnsiTheme="minorEastAsia" w:eastAsiaTheme="minorEastAsia" w:cstheme="minorEastAsia"/>
          <w:sz w:val="24"/>
          <w:szCs w:val="24"/>
        </w:rPr>
        <w:t>日历天。</w:t>
      </w:r>
    </w:p>
    <w:p w14:paraId="63BDFCB2">
      <w:pPr>
        <w:pStyle w:val="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2、工程质量要求按照国家质量验收标准，综合评定指标达到国家质量验收 合格 标准。若质量验收评定不能达到合格，所造成的一切损失由施工单位承担。</w:t>
      </w:r>
    </w:p>
    <w:p w14:paraId="0A94337A">
      <w:pPr>
        <w:pStyle w:val="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工程由投标人自购的设备和材料，所用材料必须符合国家质量验收标准，其规格、技术指标、质量等级详见施工图及工程量清单，同时必须满足相应技术规范或技术标准的要求。如因承包人原因造成的材料复检的费用由承包人承担，由发包人指定检测单位。</w:t>
      </w:r>
    </w:p>
    <w:p w14:paraId="728777A1">
      <w:pPr>
        <w:pStyle w:val="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人本工程采用品牌必须参考《主要材料品牌一览表》中的推荐品牌及相应质量要求报价，并清晰列出本工程项目中“投标人采用品牌”；如采用其他品牌时，可使用同档次以上品牌，应提供充分依据，证明采用的材料质量高于或相当于推荐品牌产品，否则其投标文件将被拒绝。</w:t>
      </w:r>
    </w:p>
    <w:p w14:paraId="5205510D">
      <w:pPr>
        <w:pStyle w:val="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中标人在收到中标通知书后3个工作日内，须按校方要求提供工程人员安排和施工计划，如不能通过校方可行性审核，需在2个工作日内提供整改方案，如仍未通过审核，校方可取消其中标资格，纳入江苏开放大学“违约供应商名单”，由下一名中标候选人接替。</w:t>
      </w:r>
    </w:p>
    <w:p w14:paraId="3103396A">
      <w:pPr>
        <w:pStyle w:val="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中标人必须按照投标时提供的主要材料品牌及规格施工，不得擅自更换。否则视为违约，一经发现，更换主材处以违约金20万，更换辅材处以违约金10万。同时中标人必须按要求重新采购有关材料，并承担一切费用。相关金额招标人可从合同支付款中直接进行扣除。</w:t>
      </w:r>
    </w:p>
    <w:p w14:paraId="63BE5B3E">
      <w:pPr>
        <w:pStyle w:val="3"/>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7、项目进行过程中，校方将进行中期进度和质量检查，如不能达到相关进度和质量要求，校方可酌情扣除费用，也可以根据其改进情况决定是否解除合同，并纳入江苏开放大学“违约供应商名单”，三年之内</w:t>
      </w:r>
      <w:r>
        <w:rPr>
          <w:rFonts w:hint="eastAsia" w:asciiTheme="minorEastAsia" w:hAnsiTheme="minorEastAsia" w:eastAsiaTheme="minorEastAsia" w:cstheme="minorEastAsia"/>
          <w:color w:val="000000" w:themeColor="text1"/>
          <w:sz w:val="24"/>
          <w:szCs w:val="24"/>
          <w14:textFill>
            <w14:solidFill>
              <w14:schemeClr w14:val="tx1"/>
            </w14:solidFill>
          </w14:textFill>
        </w:rPr>
        <w:t>不能参加学校任何招投标活动，情节严重的，将向省采购中心投诉。</w:t>
      </w:r>
    </w:p>
    <w:p w14:paraId="0AD4BBF2">
      <w:pPr>
        <w:pStyle w:val="3"/>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中标人进场后应做好施工现场保护，施工期间不得造成床、柜、门、窗、走廊等设施或区域污损，并把老旧污渍清理干净。否则，验收时不论发现新旧乳胶漆等污渍，每处罚款100元；造成损坏的，在处罚的同时，还应恢复原状或照价赔偿。项目实施完成后，施工方须按校方要求进行细节处理及保洁等工作，达到验收要求后，校方组织正式验收。</w:t>
      </w:r>
    </w:p>
    <w:p w14:paraId="64E17E66">
      <w:pPr>
        <w:pStyle w:val="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9、中标人须在合同约定的施工周期</w:t>
      </w:r>
      <w:r>
        <w:rPr>
          <w:rFonts w:hint="eastAsia" w:asciiTheme="minorEastAsia" w:hAnsiTheme="minorEastAsia" w:eastAsiaTheme="minorEastAsia" w:cstheme="minorEastAsia"/>
          <w:sz w:val="24"/>
          <w:szCs w:val="24"/>
        </w:rPr>
        <w:t>内完成全部施工，并经校方验收完成，若延期交付，每天处以合同价款的1%的违约金。</w:t>
      </w:r>
    </w:p>
    <w:p w14:paraId="360DF2F6">
      <w:pPr>
        <w:pStyle w:val="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10、免费质保期：两年。</w:t>
      </w:r>
    </w:p>
    <w:p w14:paraId="1C4377B7">
      <w:pPr>
        <w:pStyle w:val="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11、质量要求：合格。</w:t>
      </w:r>
    </w:p>
    <w:p w14:paraId="742E9013">
      <w:pPr>
        <w:pStyle w:val="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12、品牌</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55"/>
        <w:gridCol w:w="1694"/>
        <w:gridCol w:w="3456"/>
        <w:gridCol w:w="1792"/>
      </w:tblGrid>
      <w:tr w14:paraId="1E19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09" w:type="dxa"/>
            <w:vAlign w:val="center"/>
          </w:tcPr>
          <w:p w14:paraId="5CDD8E85">
            <w:pPr>
              <w:jc w:val="center"/>
              <w:rPr>
                <w:rFonts w:ascii="宋体" w:hAnsi="宋体" w:cs="宋体"/>
                <w:b/>
                <w:kern w:val="0"/>
                <w:szCs w:val="21"/>
                <w:lang w:bidi="ar"/>
              </w:rPr>
            </w:pPr>
            <w:r>
              <w:rPr>
                <w:rFonts w:hint="eastAsia" w:ascii="宋体" w:hAnsi="宋体" w:cs="宋体"/>
                <w:b/>
                <w:kern w:val="0"/>
                <w:szCs w:val="21"/>
                <w:lang w:bidi="ar"/>
              </w:rPr>
              <w:t>序号</w:t>
            </w:r>
          </w:p>
        </w:tc>
        <w:tc>
          <w:tcPr>
            <w:tcW w:w="2055" w:type="dxa"/>
            <w:vAlign w:val="center"/>
          </w:tcPr>
          <w:p w14:paraId="3AB17994">
            <w:pPr>
              <w:jc w:val="center"/>
              <w:rPr>
                <w:rFonts w:ascii="宋体" w:hAnsi="宋体" w:cs="宋体"/>
                <w:b/>
                <w:kern w:val="0"/>
                <w:szCs w:val="21"/>
                <w:lang w:bidi="ar"/>
              </w:rPr>
            </w:pPr>
            <w:r>
              <w:rPr>
                <w:rFonts w:hint="eastAsia" w:ascii="宋体" w:hAnsi="宋体" w:cs="宋体"/>
                <w:b/>
                <w:kern w:val="0"/>
                <w:szCs w:val="21"/>
                <w:lang w:bidi="ar"/>
              </w:rPr>
              <w:t>材料名称</w:t>
            </w:r>
          </w:p>
        </w:tc>
        <w:tc>
          <w:tcPr>
            <w:tcW w:w="1694" w:type="dxa"/>
            <w:tcBorders>
              <w:left w:val="single" w:color="000000" w:sz="4" w:space="0"/>
            </w:tcBorders>
            <w:vAlign w:val="center"/>
          </w:tcPr>
          <w:p w14:paraId="459206DF">
            <w:pPr>
              <w:jc w:val="center"/>
              <w:rPr>
                <w:rFonts w:ascii="宋体" w:hAnsi="宋体" w:cs="宋体"/>
                <w:b/>
                <w:kern w:val="0"/>
                <w:szCs w:val="21"/>
                <w:lang w:bidi="ar"/>
              </w:rPr>
            </w:pPr>
            <w:r>
              <w:rPr>
                <w:rFonts w:hint="eastAsia" w:ascii="宋体" w:hAnsi="宋体" w:cs="宋体"/>
                <w:b/>
                <w:kern w:val="0"/>
                <w:szCs w:val="21"/>
                <w:lang w:bidi="ar"/>
              </w:rPr>
              <w:t>规格</w:t>
            </w:r>
          </w:p>
        </w:tc>
        <w:tc>
          <w:tcPr>
            <w:tcW w:w="3456" w:type="dxa"/>
            <w:tcBorders>
              <w:right w:val="single" w:color="000000" w:sz="4" w:space="0"/>
            </w:tcBorders>
            <w:vAlign w:val="center"/>
          </w:tcPr>
          <w:p w14:paraId="0E1E6644">
            <w:pPr>
              <w:jc w:val="center"/>
              <w:rPr>
                <w:b/>
                <w:szCs w:val="21"/>
              </w:rPr>
            </w:pPr>
            <w:r>
              <w:rPr>
                <w:rFonts w:hint="eastAsia" w:ascii="宋体" w:hAnsi="宋体" w:cs="宋体"/>
                <w:b/>
                <w:kern w:val="0"/>
                <w:szCs w:val="21"/>
                <w:lang w:bidi="ar"/>
              </w:rPr>
              <w:t>推荐品牌及同等品牌</w:t>
            </w:r>
          </w:p>
        </w:tc>
        <w:tc>
          <w:tcPr>
            <w:tcW w:w="1792" w:type="dxa"/>
            <w:tcBorders>
              <w:right w:val="single" w:color="000000" w:sz="4" w:space="0"/>
            </w:tcBorders>
            <w:vAlign w:val="center"/>
          </w:tcPr>
          <w:p w14:paraId="3F45FC98">
            <w:pPr>
              <w:widowControl/>
              <w:snapToGrid w:val="0"/>
              <w:jc w:val="center"/>
              <w:rPr>
                <w:rFonts w:ascii="宋体" w:hAnsi="宋体" w:cs="Arial"/>
                <w:b/>
                <w:kern w:val="0"/>
                <w:szCs w:val="21"/>
              </w:rPr>
            </w:pPr>
            <w:r>
              <w:rPr>
                <w:rFonts w:hint="eastAsia" w:ascii="宋体" w:hAnsi="宋体" w:cs="Arial"/>
                <w:b/>
                <w:kern w:val="0"/>
                <w:szCs w:val="21"/>
              </w:rPr>
              <w:t>投标人</w:t>
            </w:r>
          </w:p>
          <w:p w14:paraId="7AF82E67">
            <w:pPr>
              <w:jc w:val="center"/>
              <w:rPr>
                <w:rFonts w:ascii="宋体" w:hAnsi="宋体" w:cs="宋体"/>
                <w:b/>
                <w:kern w:val="0"/>
                <w:szCs w:val="21"/>
                <w:lang w:bidi="ar"/>
              </w:rPr>
            </w:pPr>
            <w:r>
              <w:rPr>
                <w:rFonts w:hint="eastAsia" w:ascii="宋体" w:hAnsi="宋体" w:cs="Arial"/>
                <w:b/>
                <w:kern w:val="0"/>
                <w:szCs w:val="21"/>
              </w:rPr>
              <w:t>采用品牌</w:t>
            </w:r>
          </w:p>
        </w:tc>
      </w:tr>
      <w:tr w14:paraId="3BCD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9" w:type="dxa"/>
            <w:vAlign w:val="center"/>
          </w:tcPr>
          <w:p w14:paraId="461872AF">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1</w:t>
            </w:r>
          </w:p>
        </w:tc>
        <w:tc>
          <w:tcPr>
            <w:tcW w:w="2055" w:type="dxa"/>
            <w:vAlign w:val="center"/>
          </w:tcPr>
          <w:p w14:paraId="32F4788B">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乳胶漆</w:t>
            </w:r>
          </w:p>
        </w:tc>
        <w:tc>
          <w:tcPr>
            <w:tcW w:w="1694" w:type="dxa"/>
            <w:tcBorders>
              <w:left w:val="single" w:color="000000" w:sz="4" w:space="0"/>
            </w:tcBorders>
            <w:vAlign w:val="center"/>
          </w:tcPr>
          <w:p w14:paraId="67C14595">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详见清单</w:t>
            </w:r>
          </w:p>
        </w:tc>
        <w:tc>
          <w:tcPr>
            <w:tcW w:w="3456" w:type="dxa"/>
            <w:tcBorders>
              <w:right w:val="single" w:color="000000" w:sz="4" w:space="0"/>
            </w:tcBorders>
            <w:vAlign w:val="center"/>
          </w:tcPr>
          <w:p w14:paraId="7C976434">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多乐士五合一净味、立邦金装净味五合一、紫荆花净味竹炭防潮</w:t>
            </w:r>
          </w:p>
        </w:tc>
        <w:tc>
          <w:tcPr>
            <w:tcW w:w="1792" w:type="dxa"/>
            <w:tcBorders>
              <w:right w:val="single" w:color="000000" w:sz="4" w:space="0"/>
            </w:tcBorders>
            <w:vAlign w:val="center"/>
          </w:tcPr>
          <w:p w14:paraId="56EC217D">
            <w:pPr>
              <w:jc w:val="center"/>
              <w:rPr>
                <w:rFonts w:hint="eastAsia" w:asciiTheme="minorEastAsia" w:hAnsiTheme="minorEastAsia" w:eastAsiaTheme="minorEastAsia" w:cstheme="minorEastAsia"/>
                <w:bCs/>
                <w:kern w:val="0"/>
                <w:sz w:val="24"/>
                <w:szCs w:val="24"/>
                <w:lang w:bidi="ar"/>
              </w:rPr>
            </w:pPr>
          </w:p>
        </w:tc>
      </w:tr>
      <w:tr w14:paraId="19F1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9" w:type="dxa"/>
            <w:vAlign w:val="center"/>
          </w:tcPr>
          <w:p w14:paraId="5BE5CB17">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2</w:t>
            </w:r>
          </w:p>
        </w:tc>
        <w:tc>
          <w:tcPr>
            <w:tcW w:w="2055" w:type="dxa"/>
            <w:vAlign w:val="center"/>
          </w:tcPr>
          <w:p w14:paraId="19AD0773">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防水卷材</w:t>
            </w:r>
          </w:p>
        </w:tc>
        <w:tc>
          <w:tcPr>
            <w:tcW w:w="1694" w:type="dxa"/>
            <w:tcBorders>
              <w:left w:val="single" w:color="000000" w:sz="4" w:space="0"/>
            </w:tcBorders>
            <w:vAlign w:val="center"/>
          </w:tcPr>
          <w:p w14:paraId="1E03954E">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详见清单</w:t>
            </w:r>
          </w:p>
        </w:tc>
        <w:tc>
          <w:tcPr>
            <w:tcW w:w="3456" w:type="dxa"/>
            <w:tcBorders>
              <w:right w:val="single" w:color="000000" w:sz="4" w:space="0"/>
            </w:tcBorders>
            <w:vAlign w:val="center"/>
          </w:tcPr>
          <w:p w14:paraId="0A83929A">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东方雨虹、科顺、大禹</w:t>
            </w:r>
          </w:p>
        </w:tc>
        <w:tc>
          <w:tcPr>
            <w:tcW w:w="1792" w:type="dxa"/>
            <w:tcBorders>
              <w:right w:val="single" w:color="000000" w:sz="4" w:space="0"/>
            </w:tcBorders>
            <w:vAlign w:val="center"/>
          </w:tcPr>
          <w:p w14:paraId="749BD96F">
            <w:pPr>
              <w:jc w:val="center"/>
              <w:rPr>
                <w:rFonts w:hint="eastAsia" w:asciiTheme="minorEastAsia" w:hAnsiTheme="minorEastAsia" w:eastAsiaTheme="minorEastAsia" w:cstheme="minorEastAsia"/>
                <w:bCs/>
                <w:kern w:val="0"/>
                <w:sz w:val="24"/>
                <w:szCs w:val="24"/>
                <w:lang w:bidi="ar"/>
              </w:rPr>
            </w:pPr>
          </w:p>
        </w:tc>
      </w:tr>
      <w:tr w14:paraId="2A4C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9" w:type="dxa"/>
            <w:vAlign w:val="center"/>
          </w:tcPr>
          <w:p w14:paraId="60CAF90B">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3</w:t>
            </w:r>
          </w:p>
        </w:tc>
        <w:tc>
          <w:tcPr>
            <w:tcW w:w="2055" w:type="dxa"/>
            <w:vAlign w:val="center"/>
          </w:tcPr>
          <w:p w14:paraId="65C11846">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PVC地胶卷材</w:t>
            </w:r>
          </w:p>
        </w:tc>
        <w:tc>
          <w:tcPr>
            <w:tcW w:w="1694" w:type="dxa"/>
            <w:tcBorders>
              <w:left w:val="single" w:color="000000" w:sz="4" w:space="0"/>
            </w:tcBorders>
            <w:vAlign w:val="center"/>
          </w:tcPr>
          <w:p w14:paraId="3BCD2A3E">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详见清单</w:t>
            </w:r>
          </w:p>
        </w:tc>
        <w:tc>
          <w:tcPr>
            <w:tcW w:w="3456" w:type="dxa"/>
            <w:tcBorders>
              <w:right w:val="single" w:color="000000" w:sz="4" w:space="0"/>
            </w:tcBorders>
            <w:vAlign w:val="center"/>
          </w:tcPr>
          <w:p w14:paraId="48DA6D2E">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吉拉迪诺，彩喆，爱丽</w:t>
            </w:r>
          </w:p>
        </w:tc>
        <w:tc>
          <w:tcPr>
            <w:tcW w:w="1792" w:type="dxa"/>
            <w:tcBorders>
              <w:right w:val="single" w:color="000000" w:sz="4" w:space="0"/>
            </w:tcBorders>
            <w:vAlign w:val="center"/>
          </w:tcPr>
          <w:p w14:paraId="7E9B63AF">
            <w:pPr>
              <w:jc w:val="center"/>
              <w:rPr>
                <w:rFonts w:hint="eastAsia" w:asciiTheme="minorEastAsia" w:hAnsiTheme="minorEastAsia" w:eastAsiaTheme="minorEastAsia" w:cstheme="minorEastAsia"/>
                <w:bCs/>
                <w:kern w:val="0"/>
                <w:sz w:val="24"/>
                <w:szCs w:val="24"/>
                <w:lang w:bidi="ar"/>
              </w:rPr>
            </w:pPr>
          </w:p>
        </w:tc>
      </w:tr>
      <w:tr w14:paraId="081E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9" w:type="dxa"/>
            <w:vAlign w:val="center"/>
          </w:tcPr>
          <w:p w14:paraId="493165DE">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4</w:t>
            </w:r>
          </w:p>
        </w:tc>
        <w:tc>
          <w:tcPr>
            <w:tcW w:w="2055" w:type="dxa"/>
            <w:vAlign w:val="center"/>
          </w:tcPr>
          <w:p w14:paraId="071DDA35">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集成吊顶铝板</w:t>
            </w:r>
          </w:p>
        </w:tc>
        <w:tc>
          <w:tcPr>
            <w:tcW w:w="1694" w:type="dxa"/>
            <w:tcBorders>
              <w:left w:val="single" w:color="000000" w:sz="4" w:space="0"/>
            </w:tcBorders>
            <w:vAlign w:val="center"/>
          </w:tcPr>
          <w:p w14:paraId="1F48CD97">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详见清单</w:t>
            </w:r>
          </w:p>
        </w:tc>
        <w:tc>
          <w:tcPr>
            <w:tcW w:w="3456" w:type="dxa"/>
            <w:tcBorders>
              <w:right w:val="single" w:color="000000" w:sz="4" w:space="0"/>
            </w:tcBorders>
            <w:vAlign w:val="center"/>
          </w:tcPr>
          <w:p w14:paraId="4703E562">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聆听，浦菲尔，华斯顿</w:t>
            </w:r>
          </w:p>
        </w:tc>
        <w:tc>
          <w:tcPr>
            <w:tcW w:w="1792" w:type="dxa"/>
            <w:tcBorders>
              <w:right w:val="single" w:color="000000" w:sz="4" w:space="0"/>
            </w:tcBorders>
            <w:vAlign w:val="center"/>
          </w:tcPr>
          <w:p w14:paraId="7B83BE09">
            <w:pPr>
              <w:jc w:val="center"/>
              <w:rPr>
                <w:rFonts w:hint="eastAsia" w:asciiTheme="minorEastAsia" w:hAnsiTheme="minorEastAsia" w:eastAsiaTheme="minorEastAsia" w:cstheme="minorEastAsia"/>
                <w:bCs/>
                <w:kern w:val="0"/>
                <w:sz w:val="24"/>
                <w:szCs w:val="24"/>
                <w:lang w:bidi="ar"/>
              </w:rPr>
            </w:pPr>
          </w:p>
        </w:tc>
      </w:tr>
      <w:tr w14:paraId="1784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9" w:type="dxa"/>
            <w:vAlign w:val="center"/>
          </w:tcPr>
          <w:p w14:paraId="0D6A3780">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5</w:t>
            </w:r>
          </w:p>
        </w:tc>
        <w:tc>
          <w:tcPr>
            <w:tcW w:w="2055" w:type="dxa"/>
            <w:vAlign w:val="center"/>
          </w:tcPr>
          <w:p w14:paraId="3EDFF148">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五金</w:t>
            </w:r>
          </w:p>
        </w:tc>
        <w:tc>
          <w:tcPr>
            <w:tcW w:w="1694" w:type="dxa"/>
            <w:tcBorders>
              <w:left w:val="single" w:color="000000" w:sz="4" w:space="0"/>
            </w:tcBorders>
            <w:vAlign w:val="center"/>
          </w:tcPr>
          <w:p w14:paraId="30383172">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详见清单</w:t>
            </w:r>
          </w:p>
        </w:tc>
        <w:tc>
          <w:tcPr>
            <w:tcW w:w="3456" w:type="dxa"/>
            <w:tcBorders>
              <w:right w:val="single" w:color="000000" w:sz="4" w:space="0"/>
            </w:tcBorders>
            <w:vAlign w:val="center"/>
          </w:tcPr>
          <w:p w14:paraId="76CDB788">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sz w:val="24"/>
                <w:szCs w:val="24"/>
              </w:rPr>
              <w:t>安朗杰、多玛、格屋</w:t>
            </w:r>
          </w:p>
        </w:tc>
        <w:tc>
          <w:tcPr>
            <w:tcW w:w="1792" w:type="dxa"/>
            <w:tcBorders>
              <w:right w:val="single" w:color="000000" w:sz="4" w:space="0"/>
            </w:tcBorders>
            <w:vAlign w:val="center"/>
          </w:tcPr>
          <w:p w14:paraId="4D06C36F">
            <w:pPr>
              <w:jc w:val="center"/>
              <w:rPr>
                <w:rFonts w:hint="eastAsia" w:asciiTheme="minorEastAsia" w:hAnsiTheme="minorEastAsia" w:eastAsiaTheme="minorEastAsia" w:cstheme="minorEastAsia"/>
                <w:bCs/>
                <w:kern w:val="0"/>
                <w:sz w:val="24"/>
                <w:szCs w:val="24"/>
                <w:lang w:bidi="ar"/>
              </w:rPr>
            </w:pPr>
          </w:p>
        </w:tc>
      </w:tr>
      <w:tr w14:paraId="0A16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9" w:type="dxa"/>
            <w:vAlign w:val="center"/>
          </w:tcPr>
          <w:p w14:paraId="4912D3F7">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6</w:t>
            </w:r>
          </w:p>
        </w:tc>
        <w:tc>
          <w:tcPr>
            <w:tcW w:w="2055" w:type="dxa"/>
            <w:vAlign w:val="center"/>
          </w:tcPr>
          <w:p w14:paraId="725A9068">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格栅吊顶</w:t>
            </w:r>
          </w:p>
        </w:tc>
        <w:tc>
          <w:tcPr>
            <w:tcW w:w="1694" w:type="dxa"/>
            <w:tcBorders>
              <w:left w:val="single" w:color="000000" w:sz="4" w:space="0"/>
            </w:tcBorders>
            <w:vAlign w:val="center"/>
          </w:tcPr>
          <w:p w14:paraId="1762D248">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详见清单</w:t>
            </w:r>
          </w:p>
        </w:tc>
        <w:tc>
          <w:tcPr>
            <w:tcW w:w="3456" w:type="dxa"/>
            <w:tcBorders>
              <w:right w:val="single" w:color="000000" w:sz="4" w:space="0"/>
            </w:tcBorders>
            <w:vAlign w:val="center"/>
          </w:tcPr>
          <w:p w14:paraId="4529C83B">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聆听，浦菲尔，华斯顿</w:t>
            </w:r>
          </w:p>
        </w:tc>
        <w:tc>
          <w:tcPr>
            <w:tcW w:w="1792" w:type="dxa"/>
            <w:tcBorders>
              <w:right w:val="single" w:color="000000" w:sz="4" w:space="0"/>
            </w:tcBorders>
            <w:vAlign w:val="center"/>
          </w:tcPr>
          <w:p w14:paraId="6EF3627C">
            <w:pPr>
              <w:jc w:val="center"/>
              <w:rPr>
                <w:rFonts w:hint="eastAsia" w:asciiTheme="minorEastAsia" w:hAnsiTheme="minorEastAsia" w:eastAsiaTheme="minorEastAsia" w:cstheme="minorEastAsia"/>
                <w:bCs/>
                <w:kern w:val="0"/>
                <w:sz w:val="24"/>
                <w:szCs w:val="24"/>
                <w:lang w:bidi="ar"/>
              </w:rPr>
            </w:pPr>
          </w:p>
        </w:tc>
      </w:tr>
      <w:tr w14:paraId="3E61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9" w:type="dxa"/>
            <w:vAlign w:val="center"/>
          </w:tcPr>
          <w:p w14:paraId="10DD3377">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7</w:t>
            </w:r>
          </w:p>
        </w:tc>
        <w:tc>
          <w:tcPr>
            <w:tcW w:w="2055" w:type="dxa"/>
            <w:vAlign w:val="center"/>
          </w:tcPr>
          <w:p w14:paraId="110C12C8">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房门油漆</w:t>
            </w:r>
          </w:p>
        </w:tc>
        <w:tc>
          <w:tcPr>
            <w:tcW w:w="1694" w:type="dxa"/>
            <w:tcBorders>
              <w:left w:val="single" w:color="000000" w:sz="4" w:space="0"/>
            </w:tcBorders>
            <w:vAlign w:val="center"/>
          </w:tcPr>
          <w:p w14:paraId="17393F20">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详见清单</w:t>
            </w:r>
          </w:p>
        </w:tc>
        <w:tc>
          <w:tcPr>
            <w:tcW w:w="3456" w:type="dxa"/>
            <w:tcBorders>
              <w:right w:val="single" w:color="000000" w:sz="4" w:space="0"/>
            </w:tcBorders>
            <w:vAlign w:val="center"/>
          </w:tcPr>
          <w:p w14:paraId="0A377882">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sz w:val="24"/>
                <w:szCs w:val="24"/>
              </w:rPr>
              <w:t>立邦、三棵树、多乐士</w:t>
            </w:r>
          </w:p>
        </w:tc>
        <w:tc>
          <w:tcPr>
            <w:tcW w:w="1792" w:type="dxa"/>
            <w:tcBorders>
              <w:right w:val="single" w:color="000000" w:sz="4" w:space="0"/>
            </w:tcBorders>
            <w:vAlign w:val="center"/>
          </w:tcPr>
          <w:p w14:paraId="0D16CA74">
            <w:pPr>
              <w:jc w:val="center"/>
              <w:rPr>
                <w:rFonts w:hint="eastAsia" w:asciiTheme="minorEastAsia" w:hAnsiTheme="minorEastAsia" w:eastAsiaTheme="minorEastAsia" w:cstheme="minorEastAsia"/>
                <w:bCs/>
                <w:kern w:val="0"/>
                <w:sz w:val="24"/>
                <w:szCs w:val="24"/>
                <w:lang w:bidi="ar"/>
              </w:rPr>
            </w:pPr>
          </w:p>
        </w:tc>
      </w:tr>
      <w:tr w14:paraId="4B2FC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9" w:type="dxa"/>
            <w:vAlign w:val="center"/>
          </w:tcPr>
          <w:p w14:paraId="3B7622BC">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8</w:t>
            </w:r>
          </w:p>
        </w:tc>
        <w:tc>
          <w:tcPr>
            <w:tcW w:w="2055" w:type="dxa"/>
            <w:vAlign w:val="center"/>
          </w:tcPr>
          <w:p w14:paraId="3E1F6741">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外墙真石漆</w:t>
            </w:r>
          </w:p>
        </w:tc>
        <w:tc>
          <w:tcPr>
            <w:tcW w:w="1694" w:type="dxa"/>
            <w:tcBorders>
              <w:left w:val="single" w:color="000000" w:sz="4" w:space="0"/>
            </w:tcBorders>
            <w:vAlign w:val="center"/>
          </w:tcPr>
          <w:p w14:paraId="55C9041A">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详见清单</w:t>
            </w:r>
          </w:p>
        </w:tc>
        <w:tc>
          <w:tcPr>
            <w:tcW w:w="3456" w:type="dxa"/>
            <w:tcBorders>
              <w:right w:val="single" w:color="000000" w:sz="4" w:space="0"/>
            </w:tcBorders>
            <w:vAlign w:val="center"/>
          </w:tcPr>
          <w:p w14:paraId="1BAF2AF8">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立邦、多乐士、美涂</w:t>
            </w:r>
          </w:p>
        </w:tc>
        <w:tc>
          <w:tcPr>
            <w:tcW w:w="1792" w:type="dxa"/>
            <w:tcBorders>
              <w:right w:val="single" w:color="000000" w:sz="4" w:space="0"/>
            </w:tcBorders>
            <w:vAlign w:val="center"/>
          </w:tcPr>
          <w:p w14:paraId="2A10378C">
            <w:pPr>
              <w:jc w:val="center"/>
              <w:rPr>
                <w:rFonts w:hint="eastAsia" w:asciiTheme="minorEastAsia" w:hAnsiTheme="minorEastAsia" w:eastAsiaTheme="minorEastAsia" w:cstheme="minorEastAsia"/>
                <w:bCs/>
                <w:kern w:val="0"/>
                <w:sz w:val="24"/>
                <w:szCs w:val="24"/>
                <w:lang w:bidi="ar"/>
              </w:rPr>
            </w:pPr>
          </w:p>
        </w:tc>
      </w:tr>
      <w:tr w14:paraId="4598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9" w:type="dxa"/>
            <w:vAlign w:val="center"/>
          </w:tcPr>
          <w:p w14:paraId="03BE7D86">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9</w:t>
            </w:r>
          </w:p>
        </w:tc>
        <w:tc>
          <w:tcPr>
            <w:tcW w:w="2055" w:type="dxa"/>
            <w:vAlign w:val="center"/>
          </w:tcPr>
          <w:p w14:paraId="3DE22A56">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金属塑钢窗</w:t>
            </w:r>
          </w:p>
        </w:tc>
        <w:tc>
          <w:tcPr>
            <w:tcW w:w="1694" w:type="dxa"/>
            <w:tcBorders>
              <w:left w:val="single" w:color="000000" w:sz="4" w:space="0"/>
            </w:tcBorders>
            <w:vAlign w:val="center"/>
          </w:tcPr>
          <w:p w14:paraId="287F08F9">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详见清单</w:t>
            </w:r>
          </w:p>
        </w:tc>
        <w:tc>
          <w:tcPr>
            <w:tcW w:w="3456" w:type="dxa"/>
            <w:tcBorders>
              <w:right w:val="single" w:color="000000" w:sz="4" w:space="0"/>
            </w:tcBorders>
            <w:vAlign w:val="center"/>
          </w:tcPr>
          <w:p w14:paraId="2C88093B">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海螺、中财、凤铝</w:t>
            </w:r>
          </w:p>
        </w:tc>
        <w:tc>
          <w:tcPr>
            <w:tcW w:w="1792" w:type="dxa"/>
            <w:tcBorders>
              <w:right w:val="single" w:color="000000" w:sz="4" w:space="0"/>
            </w:tcBorders>
            <w:vAlign w:val="center"/>
          </w:tcPr>
          <w:p w14:paraId="79D6EEED">
            <w:pPr>
              <w:jc w:val="center"/>
              <w:rPr>
                <w:rFonts w:hint="eastAsia" w:asciiTheme="minorEastAsia" w:hAnsiTheme="minorEastAsia" w:eastAsiaTheme="minorEastAsia" w:cstheme="minorEastAsia"/>
                <w:bCs/>
                <w:kern w:val="0"/>
                <w:sz w:val="24"/>
                <w:szCs w:val="24"/>
                <w:lang w:bidi="ar"/>
              </w:rPr>
            </w:pPr>
          </w:p>
        </w:tc>
      </w:tr>
      <w:tr w14:paraId="4B91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9" w:type="dxa"/>
            <w:vAlign w:val="center"/>
          </w:tcPr>
          <w:p w14:paraId="18B30E8D">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10</w:t>
            </w:r>
          </w:p>
        </w:tc>
        <w:tc>
          <w:tcPr>
            <w:tcW w:w="2055" w:type="dxa"/>
            <w:vAlign w:val="center"/>
          </w:tcPr>
          <w:p w14:paraId="28420719">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防盗门</w:t>
            </w:r>
          </w:p>
        </w:tc>
        <w:tc>
          <w:tcPr>
            <w:tcW w:w="1694" w:type="dxa"/>
            <w:tcBorders>
              <w:left w:val="single" w:color="000000" w:sz="4" w:space="0"/>
            </w:tcBorders>
            <w:vAlign w:val="center"/>
          </w:tcPr>
          <w:p w14:paraId="081715B0">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详见清单</w:t>
            </w:r>
          </w:p>
        </w:tc>
        <w:tc>
          <w:tcPr>
            <w:tcW w:w="3456" w:type="dxa"/>
            <w:tcBorders>
              <w:right w:val="single" w:color="000000" w:sz="4" w:space="0"/>
            </w:tcBorders>
            <w:vAlign w:val="center"/>
          </w:tcPr>
          <w:p w14:paraId="78A7BEFA">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爱居邦、家德利、和乐</w:t>
            </w:r>
          </w:p>
        </w:tc>
        <w:tc>
          <w:tcPr>
            <w:tcW w:w="1792" w:type="dxa"/>
            <w:tcBorders>
              <w:right w:val="single" w:color="000000" w:sz="4" w:space="0"/>
            </w:tcBorders>
            <w:vAlign w:val="center"/>
          </w:tcPr>
          <w:p w14:paraId="565665F2">
            <w:pPr>
              <w:jc w:val="center"/>
              <w:rPr>
                <w:rFonts w:hint="eastAsia" w:asciiTheme="minorEastAsia" w:hAnsiTheme="minorEastAsia" w:eastAsiaTheme="minorEastAsia" w:cstheme="minorEastAsia"/>
                <w:bCs/>
                <w:kern w:val="0"/>
                <w:sz w:val="24"/>
                <w:szCs w:val="24"/>
                <w:lang w:bidi="ar"/>
              </w:rPr>
            </w:pPr>
          </w:p>
        </w:tc>
      </w:tr>
      <w:tr w14:paraId="44D5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9" w:type="dxa"/>
            <w:vAlign w:val="center"/>
          </w:tcPr>
          <w:p w14:paraId="32CF9E22">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11</w:t>
            </w:r>
          </w:p>
        </w:tc>
        <w:tc>
          <w:tcPr>
            <w:tcW w:w="2055" w:type="dxa"/>
            <w:vAlign w:val="center"/>
          </w:tcPr>
          <w:p w14:paraId="61F24827">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蹲坑及水箱</w:t>
            </w:r>
          </w:p>
        </w:tc>
        <w:tc>
          <w:tcPr>
            <w:tcW w:w="1694" w:type="dxa"/>
            <w:tcBorders>
              <w:left w:val="single" w:color="000000" w:sz="4" w:space="0"/>
            </w:tcBorders>
            <w:vAlign w:val="center"/>
          </w:tcPr>
          <w:p w14:paraId="26C6FD26">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kern w:val="0"/>
                <w:sz w:val="24"/>
                <w:szCs w:val="24"/>
                <w:lang w:bidi="ar"/>
              </w:rPr>
              <w:t>详见清单</w:t>
            </w:r>
          </w:p>
        </w:tc>
        <w:tc>
          <w:tcPr>
            <w:tcW w:w="3456" w:type="dxa"/>
            <w:tcBorders>
              <w:right w:val="single" w:color="000000" w:sz="4" w:space="0"/>
            </w:tcBorders>
            <w:vAlign w:val="center"/>
          </w:tcPr>
          <w:p w14:paraId="3AEA73BF">
            <w:pPr>
              <w:jc w:val="center"/>
              <w:rPr>
                <w:rFonts w:hint="eastAsia" w:asciiTheme="minorEastAsia" w:hAnsiTheme="minorEastAsia" w:eastAsiaTheme="minorEastAsia" w:cstheme="minorEastAsia"/>
                <w:bCs/>
                <w:kern w:val="0"/>
                <w:sz w:val="24"/>
                <w:szCs w:val="24"/>
                <w:lang w:bidi="ar"/>
              </w:rPr>
            </w:pPr>
            <w:r>
              <w:rPr>
                <w:rFonts w:hint="eastAsia" w:asciiTheme="minorEastAsia" w:hAnsiTheme="minorEastAsia" w:eastAsiaTheme="minorEastAsia" w:cstheme="minorEastAsia"/>
                <w:bCs/>
                <w:sz w:val="24"/>
                <w:szCs w:val="24"/>
              </w:rPr>
              <w:t>恒洁、箭牌、九牧</w:t>
            </w:r>
          </w:p>
        </w:tc>
        <w:tc>
          <w:tcPr>
            <w:tcW w:w="1792" w:type="dxa"/>
            <w:tcBorders>
              <w:right w:val="single" w:color="000000" w:sz="4" w:space="0"/>
            </w:tcBorders>
            <w:vAlign w:val="center"/>
          </w:tcPr>
          <w:p w14:paraId="4F67312A">
            <w:pPr>
              <w:jc w:val="center"/>
              <w:rPr>
                <w:rFonts w:hint="eastAsia" w:asciiTheme="minorEastAsia" w:hAnsiTheme="minorEastAsia" w:eastAsiaTheme="minorEastAsia" w:cstheme="minorEastAsia"/>
                <w:bCs/>
                <w:kern w:val="0"/>
                <w:sz w:val="24"/>
                <w:szCs w:val="24"/>
                <w:lang w:bidi="ar"/>
              </w:rPr>
            </w:pPr>
          </w:p>
        </w:tc>
      </w:tr>
    </w:tbl>
    <w:p w14:paraId="1E41D3FB">
      <w:pPr>
        <w:pStyle w:val="3"/>
        <w:spacing w:line="360" w:lineRule="auto"/>
        <w:ind w:firstLine="480" w:firstLineChars="200"/>
        <w:contextualSpacing/>
        <w:rPr>
          <w:rFonts w:ascii="Times New Roman" w:hAnsi="Times New Roman"/>
          <w:szCs w:val="21"/>
        </w:rPr>
      </w:pPr>
      <w:r>
        <w:rPr>
          <w:rFonts w:hint="eastAsia" w:asciiTheme="minorEastAsia" w:hAnsiTheme="minorEastAsia" w:eastAsiaTheme="minorEastAsia" w:cstheme="minorEastAsia"/>
          <w:sz w:val="24"/>
          <w:szCs w:val="24"/>
        </w:rPr>
        <w:t>备注：投标人本工程采用品牌必须参考《主要材料品牌一览表》中的推荐品牌及相应质量要求报价，并清晰列出本工程项目中“投标人采用品牌”；如采用其他品牌时，应提供充分依据，证明采用的材料质量高于或相当于推荐品牌产品，否则其投标文件将视为无效标处理。</w:t>
      </w:r>
    </w:p>
    <w:p w14:paraId="0F9975FF">
      <w:pPr>
        <w:pStyle w:val="3"/>
        <w:spacing w:line="360" w:lineRule="auto"/>
        <w:ind w:firstLine="420" w:firstLineChars="200"/>
        <w:contextualSpacing/>
        <w:rPr>
          <w:rFonts w:ascii="Times New Roman" w:hAnsi="Times New Roman"/>
          <w:szCs w:val="21"/>
        </w:rPr>
      </w:pPr>
      <w:r>
        <w:rPr>
          <w:rFonts w:hint="eastAsia" w:ascii="Times New Roman" w:hAnsi="Times New Roman"/>
          <w:szCs w:val="21"/>
        </w:rPr>
        <w:t>1</w:t>
      </w:r>
      <w:r>
        <w:rPr>
          <w:rFonts w:ascii="Times New Roman" w:hAnsi="Times New Roman"/>
          <w:szCs w:val="21"/>
        </w:rPr>
        <w:t>3</w:t>
      </w:r>
      <w:r>
        <w:rPr>
          <w:rFonts w:hint="eastAsia" w:ascii="Times New Roman" w:hAnsi="Times New Roman"/>
          <w:szCs w:val="21"/>
        </w:rPr>
        <w:t>、</w:t>
      </w:r>
      <w:r>
        <w:rPr>
          <w:rFonts w:hint="eastAsia" w:ascii="Times New Roman" w:hAnsi="Times New Roman"/>
          <w:color w:val="FF0000"/>
          <w:sz w:val="24"/>
          <w:szCs w:val="24"/>
        </w:rPr>
        <w:t>中标人在工程验收前需对维修改造工程进行室内空气质量检测，并提供由第三方检测机构出具的合格的检测报告。</w:t>
      </w:r>
    </w:p>
    <w:p w14:paraId="12A0D7D7">
      <w:pPr>
        <w:pStyle w:val="13"/>
        <w:numPr>
          <w:ilvl w:val="0"/>
          <w:numId w:val="1"/>
        </w:numPr>
        <w:spacing w:line="360" w:lineRule="auto"/>
        <w:ind w:right="-1191" w:rightChars="-567" w:firstLineChars="0"/>
        <w:rPr>
          <w:rFonts w:hint="eastAsia"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履约保证金</w:t>
      </w:r>
    </w:p>
    <w:p w14:paraId="3F850BD4">
      <w:pPr>
        <w:pStyle w:val="14"/>
        <w:adjustRightInd/>
        <w:spacing w:line="360" w:lineRule="auto"/>
        <w:ind w:firstLine="480" w:firstLineChars="200"/>
        <w:contextualSpacing/>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双方签署合同时，中标人需向学校缴纳壹万伍仟元履约保证金。</w:t>
      </w:r>
    </w:p>
    <w:p w14:paraId="6E238ABF">
      <w:pPr>
        <w:pStyle w:val="14"/>
        <w:adjustRightInd/>
        <w:spacing w:line="360" w:lineRule="auto"/>
        <w:ind w:firstLine="480" w:firstLineChars="200"/>
        <w:contextualSpacing/>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如果在中标公示后5个工作日不能达到校方要求或者故意拖延导致不能签订合同的，或者无故放弃中标的，校方将取消其中标资格，并纳入江苏开放大学“违约供应商名单”，三年之内不能参加学校任何招投标活动，情节严重的，将向省采购中心投诉。</w:t>
      </w:r>
    </w:p>
    <w:p w14:paraId="2A8C0825">
      <w:pPr>
        <w:pStyle w:val="14"/>
        <w:adjustRightInd/>
        <w:spacing w:line="360" w:lineRule="auto"/>
        <w:ind w:firstLine="480" w:firstLineChars="200"/>
        <w:contextualSpacing/>
        <w:rPr>
          <w:rFonts w:ascii="Times New Roman" w:cs="Times New Roman"/>
          <w:color w:val="auto"/>
          <w:kern w:val="2"/>
          <w:sz w:val="21"/>
          <w:szCs w:val="21"/>
        </w:rPr>
      </w:pPr>
      <w:r>
        <w:rPr>
          <w:rFonts w:hint="eastAsia" w:asciiTheme="minorEastAsia" w:hAnsiTheme="minorEastAsia" w:eastAsiaTheme="minorEastAsia" w:cstheme="minorEastAsia"/>
          <w:color w:val="auto"/>
          <w:kern w:val="2"/>
          <w:sz w:val="24"/>
          <w:szCs w:val="24"/>
        </w:rPr>
        <w:t>履约保证金在项目验收合格后10个工作日内退还给中标单位。</w:t>
      </w:r>
    </w:p>
    <w:p w14:paraId="577386E1">
      <w:pPr>
        <w:pStyle w:val="13"/>
        <w:numPr>
          <w:ilvl w:val="0"/>
          <w:numId w:val="1"/>
        </w:numPr>
        <w:spacing w:line="360" w:lineRule="auto"/>
        <w:ind w:right="-1191" w:rightChars="-567" w:firstLineChars="0"/>
        <w:rPr>
          <w:rFonts w:hint="eastAsia"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付款方式</w:t>
      </w:r>
    </w:p>
    <w:p w14:paraId="060A5C34">
      <w:pPr>
        <w:pStyle w:val="14"/>
        <w:adjustRightInd/>
        <w:spacing w:line="360" w:lineRule="auto"/>
        <w:ind w:firstLine="480" w:firstLineChars="200"/>
        <w:contextualSpacing/>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双方约定的工程款(进度款)支付的方式和时间：</w:t>
      </w:r>
    </w:p>
    <w:p w14:paraId="567FF109">
      <w:pPr>
        <w:pStyle w:val="14"/>
        <w:adjustRightInd/>
        <w:spacing w:line="360" w:lineRule="auto"/>
        <w:ind w:firstLine="480" w:firstLineChars="200"/>
        <w:contextualSpacing/>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（1）无预付款；</w:t>
      </w:r>
    </w:p>
    <w:p w14:paraId="054EBE50">
      <w:pPr>
        <w:pStyle w:val="14"/>
        <w:adjustRightInd/>
        <w:spacing w:line="360" w:lineRule="auto"/>
        <w:ind w:firstLine="480" w:firstLineChars="200"/>
        <w:contextualSpacing/>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（2）工程竣工经甲方验收合格后付到合同价款的60%；</w:t>
      </w:r>
    </w:p>
    <w:p w14:paraId="38E7C6F3">
      <w:pPr>
        <w:pStyle w:val="14"/>
        <w:adjustRightInd/>
        <w:spacing w:line="360" w:lineRule="auto"/>
        <w:ind w:firstLine="480" w:firstLineChars="200"/>
        <w:contextualSpacing/>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（3）工程结算审计完成,留审计价3%作为工程质保金后一次性付清剩余款项；</w:t>
      </w:r>
    </w:p>
    <w:p w14:paraId="68143A96">
      <w:pPr>
        <w:pStyle w:val="14"/>
        <w:adjustRightInd/>
        <w:spacing w:line="360" w:lineRule="auto"/>
        <w:ind w:firstLine="480" w:firstLineChars="200"/>
        <w:contextualSpacing/>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（4）质保期满后无质量问题，一周内支付剩余3%工程质保金。</w:t>
      </w:r>
    </w:p>
    <w:p w14:paraId="731421CC">
      <w:pPr>
        <w:pStyle w:val="13"/>
        <w:widowControl/>
        <w:numPr>
          <w:ilvl w:val="0"/>
          <w:numId w:val="1"/>
        </w:numPr>
        <w:spacing w:line="360" w:lineRule="auto"/>
        <w:ind w:firstLineChars="0"/>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评分标准：</w:t>
      </w:r>
    </w:p>
    <w:p w14:paraId="47446C7B">
      <w:pPr>
        <w:pStyle w:val="14"/>
        <w:adjustRightInd/>
        <w:spacing w:line="360" w:lineRule="auto"/>
        <w:ind w:firstLine="480" w:firstLineChars="200"/>
        <w:contextualSpacing/>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本项目采用综合评分法，评分统计方法采用百分制，将全部评委评分直接进行算术平均，小数点后保留2位。按评审后得分由高到低顺序排列，得分相同的，按投标报价由低到高顺序排列，得分且投标报价相同的，按技术指标优劣顺序排列，由评标委员会确定中标供应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1320"/>
        <w:gridCol w:w="6060"/>
        <w:gridCol w:w="613"/>
      </w:tblGrid>
      <w:tr w14:paraId="1FD5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0" w:type="auto"/>
            <w:vAlign w:val="center"/>
          </w:tcPr>
          <w:p w14:paraId="53965F3D">
            <w:pPr>
              <w:pStyle w:val="14"/>
              <w:adjustRightInd/>
              <w:spacing w:line="360" w:lineRule="auto"/>
              <w:contextualSpacing/>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序号</w:t>
            </w:r>
          </w:p>
        </w:tc>
        <w:tc>
          <w:tcPr>
            <w:tcW w:w="1320" w:type="dxa"/>
            <w:vAlign w:val="center"/>
          </w:tcPr>
          <w:p w14:paraId="4AD078E8">
            <w:pPr>
              <w:pStyle w:val="14"/>
              <w:adjustRightInd/>
              <w:spacing w:line="360" w:lineRule="auto"/>
              <w:contextualSpacing/>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评分因素</w:t>
            </w:r>
          </w:p>
        </w:tc>
        <w:tc>
          <w:tcPr>
            <w:tcW w:w="6060" w:type="dxa"/>
            <w:vAlign w:val="center"/>
          </w:tcPr>
          <w:p w14:paraId="3ABB3CA4">
            <w:pPr>
              <w:pStyle w:val="14"/>
              <w:adjustRightInd/>
              <w:spacing w:line="360" w:lineRule="auto"/>
              <w:ind w:firstLine="480" w:firstLineChars="200"/>
              <w:contextualSpacing/>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评审标准</w:t>
            </w:r>
          </w:p>
        </w:tc>
        <w:tc>
          <w:tcPr>
            <w:tcW w:w="0" w:type="auto"/>
            <w:vAlign w:val="center"/>
          </w:tcPr>
          <w:p w14:paraId="3C1229AF">
            <w:pPr>
              <w:pStyle w:val="14"/>
              <w:adjustRightInd/>
              <w:spacing w:line="360" w:lineRule="auto"/>
              <w:contextualSpacing/>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分值</w:t>
            </w:r>
          </w:p>
        </w:tc>
      </w:tr>
      <w:tr w14:paraId="3369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C99C3D8">
            <w:pPr>
              <w:spacing w:line="360" w:lineRule="auto"/>
              <w:jc w:val="center"/>
            </w:pPr>
            <w:r>
              <w:t>1</w:t>
            </w:r>
          </w:p>
        </w:tc>
        <w:tc>
          <w:tcPr>
            <w:tcW w:w="1320" w:type="dxa"/>
            <w:vAlign w:val="center"/>
          </w:tcPr>
          <w:p w14:paraId="61FB281B">
            <w:pPr>
              <w:pStyle w:val="14"/>
              <w:adjustRightInd/>
              <w:spacing w:line="360" w:lineRule="auto"/>
              <w:contextualSpacing/>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投标报价</w:t>
            </w:r>
          </w:p>
        </w:tc>
        <w:tc>
          <w:tcPr>
            <w:tcW w:w="6060" w:type="dxa"/>
            <w:vAlign w:val="center"/>
          </w:tcPr>
          <w:p w14:paraId="7B3E90B6">
            <w:pPr>
              <w:pStyle w:val="14"/>
              <w:adjustRightInd/>
              <w:spacing w:line="360" w:lineRule="auto"/>
              <w:ind w:firstLine="480" w:firstLineChars="200"/>
              <w:contextualSpacing/>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采用低价优先法计算，即满足投标文件要求且投标价格最低的投标报价为评标基准价，其价格分为满分。</w:t>
            </w:r>
          </w:p>
          <w:p w14:paraId="2A428E74">
            <w:pPr>
              <w:pStyle w:val="14"/>
              <w:adjustRightInd/>
              <w:spacing w:line="360" w:lineRule="auto"/>
              <w:ind w:firstLine="480" w:firstLineChars="200"/>
              <w:contextualSpacing/>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其他投标人的价格分统一按照下列公式计算:投标报价得分=(评标基准价/投标报价)×30（小数点保留两位）</w:t>
            </w:r>
          </w:p>
        </w:tc>
        <w:tc>
          <w:tcPr>
            <w:tcW w:w="0" w:type="auto"/>
            <w:vAlign w:val="center"/>
          </w:tcPr>
          <w:p w14:paraId="565FC730">
            <w:pPr>
              <w:pStyle w:val="14"/>
              <w:adjustRightInd/>
              <w:spacing w:line="360" w:lineRule="auto"/>
              <w:contextualSpacing/>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30</w:t>
            </w:r>
          </w:p>
        </w:tc>
      </w:tr>
      <w:tr w14:paraId="3894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0" w:type="auto"/>
            <w:vAlign w:val="center"/>
          </w:tcPr>
          <w:p w14:paraId="6EC029B1">
            <w:pPr>
              <w:spacing w:line="360" w:lineRule="auto"/>
              <w:jc w:val="center"/>
            </w:pPr>
            <w:r>
              <w:rPr>
                <w:rFonts w:hint="eastAsia"/>
              </w:rPr>
              <w:t>2</w:t>
            </w:r>
          </w:p>
        </w:tc>
        <w:tc>
          <w:tcPr>
            <w:tcW w:w="1320" w:type="dxa"/>
            <w:vAlign w:val="center"/>
          </w:tcPr>
          <w:p w14:paraId="5D0C504D">
            <w:pPr>
              <w:pStyle w:val="14"/>
              <w:adjustRightInd/>
              <w:spacing w:line="360" w:lineRule="auto"/>
              <w:contextualSpacing/>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商务标</w:t>
            </w:r>
          </w:p>
        </w:tc>
        <w:tc>
          <w:tcPr>
            <w:tcW w:w="6060" w:type="dxa"/>
            <w:vAlign w:val="center"/>
          </w:tcPr>
          <w:p w14:paraId="3C71947B">
            <w:pPr>
              <w:pStyle w:val="14"/>
              <w:adjustRightInd/>
              <w:spacing w:line="360" w:lineRule="auto"/>
              <w:ind w:firstLine="480" w:firstLineChars="200"/>
              <w:contextualSpacing/>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（1）业绩（</w:t>
            </w:r>
            <w:r>
              <w:rPr>
                <w:rFonts w:hint="eastAsia" w:asciiTheme="minorEastAsia" w:hAnsiTheme="minorEastAsia" w:eastAsiaTheme="minorEastAsia" w:cstheme="minorEastAsia"/>
                <w:color w:val="FF0000"/>
                <w:kern w:val="2"/>
                <w:sz w:val="24"/>
                <w:szCs w:val="24"/>
                <w:lang w:val="en-US" w:eastAsia="zh-CN"/>
              </w:rPr>
              <w:t>10</w:t>
            </w:r>
            <w:r>
              <w:rPr>
                <w:rFonts w:hint="eastAsia" w:asciiTheme="minorEastAsia" w:hAnsiTheme="minorEastAsia" w:eastAsiaTheme="minorEastAsia" w:cstheme="minorEastAsia"/>
                <w:color w:val="auto"/>
                <w:kern w:val="2"/>
                <w:sz w:val="24"/>
                <w:szCs w:val="24"/>
                <w:lang w:val="zh-CN"/>
              </w:rPr>
              <w:t>分）</w:t>
            </w:r>
          </w:p>
          <w:p w14:paraId="6C5A0BD9">
            <w:pPr>
              <w:pStyle w:val="14"/>
              <w:adjustRightInd/>
              <w:spacing w:line="360" w:lineRule="auto"/>
              <w:ind w:firstLine="480" w:firstLineChars="200"/>
              <w:contextualSpacing/>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投标人自202</w:t>
            </w:r>
            <w:r>
              <w:rPr>
                <w:rFonts w:hint="eastAsia" w:asciiTheme="minorEastAsia" w:hAnsiTheme="minorEastAsia" w:eastAsiaTheme="minorEastAsia" w:cstheme="minorEastAsia"/>
                <w:color w:val="auto"/>
                <w:kern w:val="2"/>
                <w:sz w:val="24"/>
                <w:szCs w:val="24"/>
                <w:lang w:val="en-US" w:eastAsia="zh-CN"/>
              </w:rPr>
              <w:t>2</w:t>
            </w:r>
            <w:bookmarkStart w:id="0" w:name="_GoBack"/>
            <w:bookmarkEnd w:id="0"/>
            <w:r>
              <w:rPr>
                <w:rFonts w:hint="eastAsia" w:asciiTheme="minorEastAsia" w:hAnsiTheme="minorEastAsia" w:eastAsiaTheme="minorEastAsia" w:cstheme="minorEastAsia"/>
                <w:color w:val="auto"/>
                <w:kern w:val="2"/>
                <w:sz w:val="24"/>
                <w:szCs w:val="24"/>
                <w:lang w:val="zh-CN"/>
              </w:rPr>
              <w:t>年1月1日以来，具有类似工程维修改造的项目业绩的，每提供1个得的5分，满分</w:t>
            </w:r>
            <w:r>
              <w:rPr>
                <w:rFonts w:hint="eastAsia" w:asciiTheme="minorEastAsia" w:hAnsiTheme="minorEastAsia" w:eastAsiaTheme="minorEastAsia" w:cstheme="minorEastAsia"/>
                <w:color w:val="auto"/>
                <w:kern w:val="2"/>
                <w:sz w:val="24"/>
                <w:szCs w:val="24"/>
                <w:lang w:val="en-US" w:eastAsia="zh-CN"/>
              </w:rPr>
              <w:t>10分</w:t>
            </w:r>
            <w:r>
              <w:rPr>
                <w:rFonts w:hint="eastAsia" w:asciiTheme="minorEastAsia" w:hAnsiTheme="minorEastAsia" w:eastAsiaTheme="minorEastAsia" w:cstheme="minorEastAsia"/>
                <w:color w:val="auto"/>
                <w:kern w:val="2"/>
                <w:sz w:val="24"/>
                <w:szCs w:val="24"/>
                <w:lang w:val="zh-CN"/>
              </w:rPr>
              <w:t>。（提供合同及竣工验收证明等相关证明材料，未提供或提供不全的不得分）</w:t>
            </w:r>
          </w:p>
          <w:p w14:paraId="55856384">
            <w:pPr>
              <w:pStyle w:val="14"/>
              <w:adjustRightInd/>
              <w:spacing w:line="360" w:lineRule="auto"/>
              <w:ind w:firstLine="480" w:firstLineChars="200"/>
              <w:contextualSpacing/>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人员（10分）</w:t>
            </w:r>
          </w:p>
          <w:p w14:paraId="79479724">
            <w:pPr>
              <w:pStyle w:val="14"/>
              <w:adjustRightInd/>
              <w:spacing w:line="360" w:lineRule="auto"/>
              <w:ind w:firstLine="480" w:firstLineChars="200"/>
              <w:contextualSpacing/>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评委根据供应商拟配备的项目组人员进行评分：</w:t>
            </w:r>
          </w:p>
          <w:p w14:paraId="4A7E3843">
            <w:pPr>
              <w:pStyle w:val="14"/>
              <w:adjustRightInd/>
              <w:spacing w:line="360" w:lineRule="auto"/>
              <w:ind w:firstLine="480" w:firstLineChars="200"/>
              <w:contextualSpacing/>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项目负责人具备中级及以上职称的得4分；</w:t>
            </w:r>
          </w:p>
          <w:p w14:paraId="674149AA">
            <w:pPr>
              <w:pStyle w:val="14"/>
              <w:adjustRightInd/>
              <w:spacing w:line="360" w:lineRule="auto"/>
              <w:ind w:firstLine="480" w:firstLineChars="200"/>
              <w:contextualSpacing/>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其他施工人员（除项目负责人外）具有初级及以上职称，每提供一名得2分，满分 6 分。</w:t>
            </w:r>
          </w:p>
          <w:p w14:paraId="41A460AC">
            <w:pPr>
              <w:pStyle w:val="14"/>
              <w:adjustRightInd/>
              <w:spacing w:line="360" w:lineRule="auto"/>
              <w:ind w:firstLine="480" w:firstLineChars="200"/>
              <w:contextualSpacing/>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（提供人员有效身份证、职称证书或学历证书和近六个月（至少一个月）内在本单位交纳社保证明复印件，未提供或提供不全的不得分）。</w:t>
            </w:r>
          </w:p>
        </w:tc>
        <w:tc>
          <w:tcPr>
            <w:tcW w:w="0" w:type="auto"/>
            <w:vAlign w:val="center"/>
          </w:tcPr>
          <w:p w14:paraId="5A1D7EC0">
            <w:pPr>
              <w:pStyle w:val="14"/>
              <w:adjustRightInd/>
              <w:spacing w:line="360" w:lineRule="auto"/>
              <w:contextualSpacing/>
              <w:rPr>
                <w:rFonts w:hint="default"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FF0000"/>
                <w:kern w:val="2"/>
                <w:sz w:val="24"/>
                <w:szCs w:val="24"/>
                <w:lang w:val="en-US" w:eastAsia="zh-CN"/>
              </w:rPr>
              <w:t>20</w:t>
            </w:r>
          </w:p>
        </w:tc>
      </w:tr>
      <w:tr w14:paraId="2F68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FE1E557">
            <w:pPr>
              <w:spacing w:line="360" w:lineRule="auto"/>
              <w:jc w:val="center"/>
            </w:pPr>
            <w:r>
              <w:rPr>
                <w:rFonts w:hint="eastAsia"/>
              </w:rPr>
              <w:t>3</w:t>
            </w:r>
          </w:p>
        </w:tc>
        <w:tc>
          <w:tcPr>
            <w:tcW w:w="1320" w:type="dxa"/>
            <w:vAlign w:val="center"/>
          </w:tcPr>
          <w:p w14:paraId="082800F8">
            <w:pPr>
              <w:pStyle w:val="14"/>
              <w:adjustRightInd/>
              <w:spacing w:line="360" w:lineRule="auto"/>
              <w:contextualSpacing/>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技术标</w:t>
            </w:r>
          </w:p>
        </w:tc>
        <w:tc>
          <w:tcPr>
            <w:tcW w:w="6060" w:type="dxa"/>
            <w:vAlign w:val="center"/>
          </w:tcPr>
          <w:p w14:paraId="01B9CCB7">
            <w:pPr>
              <w:pStyle w:val="14"/>
              <w:adjustRightInd/>
              <w:spacing w:line="360" w:lineRule="auto"/>
              <w:ind w:firstLine="480" w:firstLineChars="200"/>
              <w:contextualSpacing/>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（1）总体概述</w:t>
            </w:r>
          </w:p>
          <w:p w14:paraId="4FEF38CF">
            <w:pPr>
              <w:pStyle w:val="14"/>
              <w:adjustRightInd/>
              <w:spacing w:line="360" w:lineRule="auto"/>
              <w:ind w:firstLine="480" w:firstLineChars="200"/>
              <w:contextualSpacing/>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总体概述：施工组织总体设想、方案针对性、符合本项目特征打分；</w:t>
            </w:r>
          </w:p>
          <w:p w14:paraId="27633D1D">
            <w:pPr>
              <w:pStyle w:val="14"/>
              <w:adjustRightInd/>
              <w:spacing w:line="360" w:lineRule="auto"/>
              <w:ind w:firstLine="480" w:firstLineChars="200"/>
              <w:contextualSpacing/>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（方案可行，针对性强得</w:t>
            </w:r>
            <w:r>
              <w:rPr>
                <w:rFonts w:hint="eastAsia" w:asciiTheme="minorEastAsia" w:hAnsiTheme="minorEastAsia" w:eastAsiaTheme="minorEastAsia" w:cstheme="minorEastAsia"/>
                <w:color w:val="auto"/>
                <w:kern w:val="2"/>
                <w:sz w:val="24"/>
                <w:szCs w:val="24"/>
                <w:lang w:val="en-US" w:eastAsia="zh-CN"/>
              </w:rPr>
              <w:t>15</w:t>
            </w:r>
            <w:r>
              <w:rPr>
                <w:rFonts w:hint="eastAsia" w:asciiTheme="minorEastAsia" w:hAnsiTheme="minorEastAsia" w:eastAsiaTheme="minorEastAsia" w:cstheme="minorEastAsia"/>
                <w:color w:val="auto"/>
                <w:kern w:val="2"/>
                <w:sz w:val="24"/>
                <w:szCs w:val="24"/>
                <w:lang w:val="zh-CN"/>
              </w:rPr>
              <w:t>分，方案基本可行，针对性一般得</w:t>
            </w:r>
            <w:r>
              <w:rPr>
                <w:rFonts w:hint="eastAsia" w:asciiTheme="minorEastAsia" w:hAnsiTheme="minorEastAsia" w:eastAsiaTheme="minorEastAsia" w:cstheme="minorEastAsia"/>
                <w:color w:val="auto"/>
                <w:kern w:val="2"/>
                <w:sz w:val="24"/>
                <w:szCs w:val="24"/>
                <w:lang w:val="en-US" w:eastAsia="zh-CN"/>
              </w:rPr>
              <w:t>8</w:t>
            </w:r>
            <w:r>
              <w:rPr>
                <w:rFonts w:hint="eastAsia" w:asciiTheme="minorEastAsia" w:hAnsiTheme="minorEastAsia" w:eastAsiaTheme="minorEastAsia" w:cstheme="minorEastAsia"/>
                <w:color w:val="auto"/>
                <w:kern w:val="2"/>
                <w:sz w:val="24"/>
                <w:szCs w:val="24"/>
                <w:lang w:val="zh-CN"/>
              </w:rPr>
              <w:t>分，方案缺乏合理性，针对性差得4分，无：0分；满分</w:t>
            </w:r>
            <w:r>
              <w:rPr>
                <w:rFonts w:hint="eastAsia" w:asciiTheme="minorEastAsia" w:hAnsiTheme="minorEastAsia" w:eastAsiaTheme="minorEastAsia" w:cstheme="minorEastAsia"/>
                <w:color w:val="auto"/>
                <w:kern w:val="2"/>
                <w:sz w:val="24"/>
                <w:szCs w:val="24"/>
                <w:lang w:val="en-US" w:eastAsia="zh-CN"/>
              </w:rPr>
              <w:t>15</w:t>
            </w:r>
            <w:r>
              <w:rPr>
                <w:rFonts w:hint="eastAsia" w:asciiTheme="minorEastAsia" w:hAnsiTheme="minorEastAsia" w:eastAsiaTheme="minorEastAsia" w:cstheme="minorEastAsia"/>
                <w:color w:val="auto"/>
                <w:kern w:val="2"/>
                <w:sz w:val="24"/>
                <w:szCs w:val="24"/>
                <w:lang w:val="zh-CN"/>
              </w:rPr>
              <w:t>分。）</w:t>
            </w:r>
            <w:r>
              <w:rPr>
                <w:rFonts w:hint="eastAsia" w:asciiTheme="minorEastAsia" w:hAnsiTheme="minorEastAsia" w:eastAsiaTheme="minorEastAsia" w:cstheme="minorEastAsia"/>
                <w:color w:val="auto"/>
                <w:kern w:val="2"/>
                <w:sz w:val="24"/>
                <w:szCs w:val="24"/>
                <w:lang w:val="zh-CN"/>
              </w:rPr>
              <w:br w:type="textWrapping"/>
            </w:r>
            <w:r>
              <w:rPr>
                <w:rFonts w:hint="eastAsia" w:asciiTheme="minorEastAsia" w:hAnsiTheme="minorEastAsia" w:eastAsiaTheme="minorEastAsia" w:cstheme="minorEastAsia"/>
                <w:color w:val="auto"/>
                <w:kern w:val="2"/>
                <w:sz w:val="24"/>
                <w:szCs w:val="24"/>
                <w:lang w:val="zh-CN"/>
              </w:rPr>
              <w:t>（2）进度计划</w:t>
            </w:r>
          </w:p>
          <w:p w14:paraId="252C38D6">
            <w:pPr>
              <w:pStyle w:val="14"/>
              <w:adjustRightInd/>
              <w:spacing w:line="360" w:lineRule="auto"/>
              <w:ind w:firstLine="480" w:firstLineChars="200"/>
              <w:contextualSpacing/>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根据施工进度计划和各阶段进度的保证措施的合理可行性打分。</w:t>
            </w:r>
          </w:p>
          <w:p w14:paraId="2C8D1F2B">
            <w:pPr>
              <w:pStyle w:val="14"/>
              <w:adjustRightInd/>
              <w:spacing w:line="360" w:lineRule="auto"/>
              <w:ind w:firstLine="480" w:firstLineChars="200"/>
              <w:contextualSpacing/>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（制定计划和保证措施合理可行得10分，制定计划和保证措施基本可行得7分，制定计划和保证措施缺乏合理性得4分，无：0分；满分10分。）</w:t>
            </w:r>
            <w:r>
              <w:rPr>
                <w:rFonts w:hint="eastAsia" w:asciiTheme="minorEastAsia" w:hAnsiTheme="minorEastAsia" w:eastAsiaTheme="minorEastAsia" w:cstheme="minorEastAsia"/>
                <w:color w:val="auto"/>
                <w:kern w:val="2"/>
                <w:sz w:val="24"/>
                <w:szCs w:val="24"/>
                <w:lang w:val="zh-CN"/>
              </w:rPr>
              <w:br w:type="textWrapping"/>
            </w:r>
            <w:r>
              <w:rPr>
                <w:rFonts w:hint="eastAsia" w:asciiTheme="minorEastAsia" w:hAnsiTheme="minorEastAsia" w:eastAsiaTheme="minorEastAsia" w:cstheme="minorEastAsia"/>
                <w:color w:val="auto"/>
                <w:kern w:val="2"/>
                <w:sz w:val="24"/>
                <w:szCs w:val="24"/>
                <w:lang w:val="zh-CN"/>
              </w:rPr>
              <w:t>（3）安全文明施工及环境保护措施</w:t>
            </w:r>
          </w:p>
          <w:p w14:paraId="3CF17BA7">
            <w:pPr>
              <w:pStyle w:val="14"/>
              <w:adjustRightInd/>
              <w:spacing w:line="360" w:lineRule="auto"/>
              <w:ind w:firstLine="480" w:firstLineChars="200"/>
              <w:contextualSpacing/>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根据安全文明施工及环境保护等方案的合理可行性打分。</w:t>
            </w:r>
          </w:p>
          <w:p w14:paraId="17219701">
            <w:pPr>
              <w:pStyle w:val="14"/>
              <w:adjustRightInd/>
              <w:spacing w:line="360" w:lineRule="auto"/>
              <w:ind w:firstLine="480" w:firstLineChars="200"/>
              <w:contextualSpacing/>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（保证措施合理可行得10分，保证措施基本可行得7分，保证措施缺乏合理性得4分，无：0分；满分10分。）</w:t>
            </w:r>
            <w:r>
              <w:rPr>
                <w:rFonts w:hint="eastAsia" w:asciiTheme="minorEastAsia" w:hAnsiTheme="minorEastAsia" w:eastAsiaTheme="minorEastAsia" w:cstheme="minorEastAsia"/>
                <w:color w:val="auto"/>
                <w:kern w:val="2"/>
                <w:sz w:val="24"/>
                <w:szCs w:val="24"/>
                <w:lang w:val="zh-CN"/>
              </w:rPr>
              <w:br w:type="textWrapping"/>
            </w:r>
            <w:r>
              <w:rPr>
                <w:rFonts w:hint="eastAsia" w:asciiTheme="minorEastAsia" w:hAnsiTheme="minorEastAsia" w:eastAsiaTheme="minorEastAsia" w:cstheme="minorEastAsia"/>
                <w:color w:val="auto"/>
                <w:kern w:val="2"/>
                <w:sz w:val="24"/>
                <w:szCs w:val="24"/>
                <w:lang w:val="zh-CN"/>
              </w:rPr>
              <w:t>（4）施工质量</w:t>
            </w:r>
          </w:p>
          <w:p w14:paraId="7EAAB2F6">
            <w:pPr>
              <w:pStyle w:val="14"/>
              <w:adjustRightInd/>
              <w:spacing w:line="360" w:lineRule="auto"/>
              <w:ind w:firstLine="480" w:firstLineChars="200"/>
              <w:contextualSpacing/>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根据施工质量的保证措施的合理可行性打分。</w:t>
            </w:r>
          </w:p>
          <w:p w14:paraId="75A09102">
            <w:pPr>
              <w:pStyle w:val="14"/>
              <w:adjustRightInd/>
              <w:spacing w:line="360" w:lineRule="auto"/>
              <w:ind w:firstLine="480" w:firstLineChars="200"/>
              <w:contextualSpacing/>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（方案可行，针对性强得10分，方案基本可行，针对性一般得7分，方案缺乏合理性，针对性差得4分，无：0分；满分10分。）</w:t>
            </w:r>
            <w:r>
              <w:rPr>
                <w:rFonts w:hint="eastAsia" w:asciiTheme="minorEastAsia" w:hAnsiTheme="minorEastAsia" w:eastAsiaTheme="minorEastAsia" w:cstheme="minorEastAsia"/>
                <w:color w:val="auto"/>
                <w:kern w:val="2"/>
                <w:sz w:val="24"/>
                <w:szCs w:val="24"/>
                <w:lang w:val="zh-CN"/>
              </w:rPr>
              <w:br w:type="textWrapping"/>
            </w:r>
            <w:r>
              <w:rPr>
                <w:rFonts w:hint="eastAsia" w:asciiTheme="minorEastAsia" w:hAnsiTheme="minorEastAsia" w:eastAsiaTheme="minorEastAsia" w:cstheme="minorEastAsia"/>
                <w:color w:val="auto"/>
                <w:kern w:val="2"/>
                <w:sz w:val="24"/>
                <w:szCs w:val="24"/>
                <w:lang w:val="zh-CN"/>
              </w:rPr>
              <w:t>（5）雨季施工、已有设施、管线的加固、保护等特殊情况下的施工措施；</w:t>
            </w:r>
          </w:p>
          <w:p w14:paraId="2BE7ED7E">
            <w:pPr>
              <w:pStyle w:val="14"/>
              <w:adjustRightInd/>
              <w:spacing w:line="360" w:lineRule="auto"/>
              <w:ind w:firstLine="480" w:firstLineChars="200"/>
              <w:contextualSpacing/>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（保证措施合理可行得5分，保证措施基本可行得3分，保证措施缺乏合理性得1分，无：0分；满分5分。）</w:t>
            </w:r>
          </w:p>
        </w:tc>
        <w:tc>
          <w:tcPr>
            <w:tcW w:w="0" w:type="auto"/>
            <w:vAlign w:val="center"/>
          </w:tcPr>
          <w:p w14:paraId="7B8EC6AC">
            <w:pPr>
              <w:pStyle w:val="14"/>
              <w:adjustRightInd/>
              <w:spacing w:line="360" w:lineRule="auto"/>
              <w:contextualSpacing/>
              <w:rPr>
                <w:rFonts w:hint="default"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kern w:val="2"/>
                <w:sz w:val="24"/>
                <w:szCs w:val="24"/>
                <w:lang w:val="en-US" w:eastAsia="zh-CN"/>
              </w:rPr>
              <w:t>50</w:t>
            </w:r>
          </w:p>
        </w:tc>
      </w:tr>
      <w:tr w14:paraId="6E02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EEB757A">
            <w:pPr>
              <w:spacing w:line="360" w:lineRule="auto"/>
              <w:jc w:val="center"/>
            </w:pPr>
            <w:r>
              <w:rPr>
                <w:rFonts w:hint="eastAsia"/>
              </w:rPr>
              <w:t>4</w:t>
            </w:r>
          </w:p>
        </w:tc>
        <w:tc>
          <w:tcPr>
            <w:tcW w:w="1320" w:type="dxa"/>
            <w:vAlign w:val="center"/>
          </w:tcPr>
          <w:p w14:paraId="0A06C4F5">
            <w:pPr>
              <w:pStyle w:val="14"/>
              <w:adjustRightInd/>
              <w:spacing w:line="360" w:lineRule="auto"/>
              <w:contextualSpacing/>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合计</w:t>
            </w:r>
          </w:p>
        </w:tc>
        <w:tc>
          <w:tcPr>
            <w:tcW w:w="6060" w:type="dxa"/>
            <w:vAlign w:val="center"/>
          </w:tcPr>
          <w:p w14:paraId="40BE933E">
            <w:pPr>
              <w:pStyle w:val="14"/>
              <w:adjustRightInd/>
              <w:spacing w:line="360" w:lineRule="auto"/>
              <w:ind w:firstLine="480" w:firstLineChars="200"/>
              <w:contextualSpacing/>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分值合计</w:t>
            </w:r>
          </w:p>
        </w:tc>
        <w:tc>
          <w:tcPr>
            <w:tcW w:w="0" w:type="auto"/>
            <w:vAlign w:val="center"/>
          </w:tcPr>
          <w:p w14:paraId="6A2379C1">
            <w:pPr>
              <w:pStyle w:val="14"/>
              <w:adjustRightInd/>
              <w:spacing w:line="360" w:lineRule="auto"/>
              <w:contextualSpacing/>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100</w:t>
            </w:r>
          </w:p>
        </w:tc>
      </w:tr>
    </w:tbl>
    <w:p w14:paraId="0BB676CD">
      <w:pPr>
        <w:widowControl/>
        <w:spacing w:line="360" w:lineRule="auto"/>
        <w:jc w:val="left"/>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CB580B"/>
    <w:multiLevelType w:val="multilevel"/>
    <w:tmpl w:val="2ECB580B"/>
    <w:lvl w:ilvl="0" w:tentative="0">
      <w:start w:val="1"/>
      <w:numFmt w:val="japaneseCounting"/>
      <w:lvlText w:val="%1、"/>
      <w:lvlJc w:val="left"/>
      <w:pPr>
        <w:ind w:left="450" w:hanging="450"/>
      </w:pPr>
      <w:rPr>
        <w:rFonts w:hint="default"/>
        <w:b/>
      </w:rPr>
    </w:lvl>
    <w:lvl w:ilvl="1" w:tentative="0">
      <w:start w:val="1"/>
      <w:numFmt w:val="decimal"/>
      <w:lvlText w:val="%2、"/>
      <w:lvlJc w:val="left"/>
      <w:pPr>
        <w:ind w:left="780" w:hanging="360"/>
      </w:pPr>
      <w:rPr>
        <w:rFonts w:cs="Times New Roman" w:asciiTheme="minorEastAsia" w:hAnsiTheme="minorEastAsia" w:eastAsiaTheme="minor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009"/>
    <w:rsid w:val="00002E75"/>
    <w:rsid w:val="00020C6E"/>
    <w:rsid w:val="000317FF"/>
    <w:rsid w:val="000856A8"/>
    <w:rsid w:val="00086F67"/>
    <w:rsid w:val="000A2BD0"/>
    <w:rsid w:val="000E2A73"/>
    <w:rsid w:val="000E4739"/>
    <w:rsid w:val="00156600"/>
    <w:rsid w:val="001A06CF"/>
    <w:rsid w:val="001C14B5"/>
    <w:rsid w:val="001D2039"/>
    <w:rsid w:val="001D2544"/>
    <w:rsid w:val="0021125B"/>
    <w:rsid w:val="002774E7"/>
    <w:rsid w:val="002810E4"/>
    <w:rsid w:val="002A1584"/>
    <w:rsid w:val="002C255A"/>
    <w:rsid w:val="002D226D"/>
    <w:rsid w:val="003112AB"/>
    <w:rsid w:val="00314606"/>
    <w:rsid w:val="00352ED2"/>
    <w:rsid w:val="00354B18"/>
    <w:rsid w:val="0037717F"/>
    <w:rsid w:val="00381168"/>
    <w:rsid w:val="003C40DC"/>
    <w:rsid w:val="003E12B2"/>
    <w:rsid w:val="003E42D0"/>
    <w:rsid w:val="003E52FA"/>
    <w:rsid w:val="00433E32"/>
    <w:rsid w:val="004B270B"/>
    <w:rsid w:val="004F6C80"/>
    <w:rsid w:val="0050056E"/>
    <w:rsid w:val="00562E4E"/>
    <w:rsid w:val="00580F37"/>
    <w:rsid w:val="00585377"/>
    <w:rsid w:val="0059599C"/>
    <w:rsid w:val="00596DBA"/>
    <w:rsid w:val="005A2954"/>
    <w:rsid w:val="005A7879"/>
    <w:rsid w:val="005C5C65"/>
    <w:rsid w:val="006147D4"/>
    <w:rsid w:val="0066320B"/>
    <w:rsid w:val="00670EF3"/>
    <w:rsid w:val="00682BBF"/>
    <w:rsid w:val="006B5E44"/>
    <w:rsid w:val="006B720F"/>
    <w:rsid w:val="006C5165"/>
    <w:rsid w:val="00704D2D"/>
    <w:rsid w:val="00752DE9"/>
    <w:rsid w:val="00780496"/>
    <w:rsid w:val="007A7F46"/>
    <w:rsid w:val="007C263F"/>
    <w:rsid w:val="007C39AF"/>
    <w:rsid w:val="007E00F0"/>
    <w:rsid w:val="00814366"/>
    <w:rsid w:val="008152D3"/>
    <w:rsid w:val="00865AA5"/>
    <w:rsid w:val="00890D44"/>
    <w:rsid w:val="008A4682"/>
    <w:rsid w:val="008D4009"/>
    <w:rsid w:val="008E4141"/>
    <w:rsid w:val="008F7FC8"/>
    <w:rsid w:val="00964A0E"/>
    <w:rsid w:val="009A234F"/>
    <w:rsid w:val="009D23A9"/>
    <w:rsid w:val="00A051B6"/>
    <w:rsid w:val="00A16336"/>
    <w:rsid w:val="00A71A5E"/>
    <w:rsid w:val="00AD0908"/>
    <w:rsid w:val="00AD75A3"/>
    <w:rsid w:val="00AE121B"/>
    <w:rsid w:val="00AF6D49"/>
    <w:rsid w:val="00B04D27"/>
    <w:rsid w:val="00B257B9"/>
    <w:rsid w:val="00B513E3"/>
    <w:rsid w:val="00B75EFB"/>
    <w:rsid w:val="00B855EA"/>
    <w:rsid w:val="00B85AA8"/>
    <w:rsid w:val="00B85B12"/>
    <w:rsid w:val="00BB04FF"/>
    <w:rsid w:val="00C04D07"/>
    <w:rsid w:val="00C10FA1"/>
    <w:rsid w:val="00C179A6"/>
    <w:rsid w:val="00C20687"/>
    <w:rsid w:val="00C60FFD"/>
    <w:rsid w:val="00C82307"/>
    <w:rsid w:val="00CA0D8B"/>
    <w:rsid w:val="00CC4C28"/>
    <w:rsid w:val="00D2359D"/>
    <w:rsid w:val="00D427FA"/>
    <w:rsid w:val="00D762C2"/>
    <w:rsid w:val="00DD01FE"/>
    <w:rsid w:val="00DE7D04"/>
    <w:rsid w:val="00DE7E07"/>
    <w:rsid w:val="00E02FA2"/>
    <w:rsid w:val="00E05C73"/>
    <w:rsid w:val="00E34700"/>
    <w:rsid w:val="00E45A5F"/>
    <w:rsid w:val="00E703FE"/>
    <w:rsid w:val="00E959A0"/>
    <w:rsid w:val="00EB08D4"/>
    <w:rsid w:val="00EF34C7"/>
    <w:rsid w:val="00F14E89"/>
    <w:rsid w:val="00F56C23"/>
    <w:rsid w:val="00FA0062"/>
    <w:rsid w:val="00FE1BF6"/>
    <w:rsid w:val="00FE758E"/>
    <w:rsid w:val="00FF44B2"/>
    <w:rsid w:val="08292AC0"/>
    <w:rsid w:val="154E78D2"/>
    <w:rsid w:val="232B2612"/>
    <w:rsid w:val="29B42CF8"/>
    <w:rsid w:val="3575771D"/>
    <w:rsid w:val="5A0E1D6B"/>
    <w:rsid w:val="63D66AF2"/>
    <w:rsid w:val="7DE71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kern w:val="0"/>
      <w:sz w:val="24"/>
      <w:szCs w:val="24"/>
    </w:rPr>
  </w:style>
  <w:style w:type="paragraph" w:styleId="3">
    <w:name w:val="Plain Text"/>
    <w:basedOn w:val="1"/>
    <w:qFormat/>
    <w:uiPriority w:val="0"/>
    <w:rPr>
      <w:rFonts w:ascii="宋体" w:hAnsi="Courier New"/>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kern w:val="0"/>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Hyperlink"/>
    <w:unhideWhenUsed/>
    <w:qFormat/>
    <w:uiPriority w:val="99"/>
    <w:rPr>
      <w:color w:val="333333"/>
      <w:u w:val="none"/>
    </w:rPr>
  </w:style>
  <w:style w:type="character" w:customStyle="1" w:styleId="10">
    <w:name w:val="页眉 Char"/>
    <w:link w:val="6"/>
    <w:qFormat/>
    <w:uiPriority w:val="99"/>
    <w:rPr>
      <w:sz w:val="18"/>
      <w:szCs w:val="18"/>
    </w:rPr>
  </w:style>
  <w:style w:type="character" w:customStyle="1" w:styleId="11">
    <w:name w:val="页脚 Char"/>
    <w:link w:val="5"/>
    <w:qFormat/>
    <w:uiPriority w:val="99"/>
    <w:rPr>
      <w:sz w:val="18"/>
      <w:szCs w:val="18"/>
    </w:rPr>
  </w:style>
  <w:style w:type="character" w:customStyle="1" w:styleId="12">
    <w:name w:val="批注框文本 Char"/>
    <w:link w:val="4"/>
    <w:semiHidden/>
    <w:qFormat/>
    <w:uiPriority w:val="99"/>
    <w:rPr>
      <w:kern w:val="2"/>
      <w:sz w:val="18"/>
      <w:szCs w:val="18"/>
    </w:rPr>
  </w:style>
  <w:style w:type="paragraph" w:styleId="13">
    <w:name w:val="List Paragraph"/>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4035</Words>
  <Characters>4146</Characters>
  <Lines>4</Lines>
  <Paragraphs>1</Paragraphs>
  <TotalTime>9</TotalTime>
  <ScaleCrop>false</ScaleCrop>
  <LinksUpToDate>false</LinksUpToDate>
  <CharactersWithSpaces>4176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2020-10-16T01:57:00Z</dcterms:created>
  <dc:creator>Lenovo User</dc:creator>
  <cp:lastModifiedBy>王召顺</cp:lastModifiedBy>
  <cp:lastPrinted>2018-06-19T01:37:00Z</cp:lastPrinted>
  <dcterms:modified xsi:type="dcterms:W3CDTF">2025-05-09T02:22:20Z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eyJoZGlkIjoiZjQzMmM2NTU2OWFmN2FjNmVkZmU5MzJlN2Y1MTQ1ZWMiLCJ1c2VySWQiOiIxNjYzMzMxNDk4In0=</vt:lpwstr>
  </property>
  <property fmtid="{D5CDD505-2E9C-101B-9397-08002B2CF9AE}" pid="3" name="KSOProductBuildVer">
    <vt:lpwstr>2052-12.1.0.19770</vt:lpwstr>
  </property>
  <property fmtid="{D5CDD505-2E9C-101B-9397-08002B2CF9AE}" pid="4" name="ICV">
    <vt:lpwstr>D933EA6F127D4844977E47C6C8B033C8_12</vt:lpwstr>
  </property>
</Properties>
</file>