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7"/>
        <w:spacing w:before="0" w:after="0"/>
        <w:ind w:firstLine="0"/>
        <w:rPr>
          <w:rFonts w:ascii="宋体" w:hAnsi="宋体"/>
        </w:rPr>
      </w:pPr>
    </w:p>
    <w:p>
      <w:pPr>
        <w:pStyle w:val="57"/>
        <w:ind w:firstLine="0"/>
        <w:jc w:val="center"/>
        <w:rPr>
          <w:rFonts w:eastAsia="黑体"/>
          <w:b/>
          <w:bCs/>
          <w:sz w:val="84"/>
        </w:rPr>
      </w:pPr>
    </w:p>
    <w:p>
      <w:pPr>
        <w:pStyle w:val="57"/>
        <w:tabs>
          <w:tab w:val="center" w:pos="4476"/>
          <w:tab w:val="right" w:pos="8953"/>
        </w:tabs>
        <w:ind w:firstLine="0"/>
        <w:rPr>
          <w:rFonts w:eastAsia="黑体"/>
          <w:b/>
          <w:bCs/>
          <w:sz w:val="84"/>
        </w:rPr>
      </w:pPr>
      <w:r>
        <w:rPr>
          <w:rFonts w:eastAsia="黑体"/>
          <w:b/>
          <w:bCs/>
          <w:sz w:val="84"/>
        </w:rPr>
        <w:tab/>
      </w:r>
      <w:r>
        <w:rPr>
          <w:rFonts w:hint="eastAsia" w:eastAsia="黑体"/>
          <w:b/>
          <w:bCs/>
          <w:sz w:val="84"/>
        </w:rPr>
        <w:t>招　标　文　件</w:t>
      </w:r>
      <w:r>
        <w:rPr>
          <w:rFonts w:eastAsia="黑体"/>
          <w:b/>
          <w:bCs/>
          <w:sz w:val="84"/>
        </w:rPr>
        <w:tab/>
      </w:r>
    </w:p>
    <w:p>
      <w:pPr>
        <w:pStyle w:val="57"/>
        <w:ind w:firstLine="723" w:firstLineChars="200"/>
        <w:rPr>
          <w:rFonts w:ascii="宋体" w:hAnsi="宋体"/>
          <w:b/>
          <w:bCs/>
          <w:sz w:val="36"/>
          <w:szCs w:val="36"/>
        </w:rPr>
      </w:pPr>
    </w:p>
    <w:p>
      <w:pPr>
        <w:spacing w:line="360" w:lineRule="auto"/>
        <w:ind w:firstLine="1084" w:firstLineChars="300"/>
        <w:jc w:val="left"/>
        <w:rPr>
          <w:rFonts w:ascii="宋体" w:hAnsi="宋体"/>
          <w:b/>
          <w:sz w:val="36"/>
        </w:rPr>
      </w:pPr>
    </w:p>
    <w:p>
      <w:pPr>
        <w:spacing w:line="360" w:lineRule="auto"/>
        <w:ind w:firstLine="1265" w:firstLineChars="350"/>
        <w:jc w:val="left"/>
        <w:rPr>
          <w:rFonts w:ascii="宋体" w:hAnsi="宋体"/>
          <w:b/>
          <w:kern w:val="0"/>
          <w:sz w:val="32"/>
          <w:szCs w:val="32"/>
          <w:u w:val="single"/>
        </w:rPr>
      </w:pPr>
      <w:r>
        <w:rPr>
          <w:rFonts w:hint="eastAsia" w:ascii="宋体" w:hAnsi="宋体"/>
          <w:b/>
          <w:sz w:val="36"/>
        </w:rPr>
        <w:t>项目名称：</w:t>
      </w:r>
      <w:r>
        <w:rPr>
          <w:rFonts w:hint="eastAsia" w:ascii="黑体" w:hAnsi="宋体" w:eastAsia="黑体"/>
          <w:sz w:val="32"/>
          <w:szCs w:val="32"/>
          <w:u w:val="single"/>
        </w:rPr>
        <w:t>供配电技术和电力电子技术等实训设备</w:t>
      </w:r>
    </w:p>
    <w:p>
      <w:pPr>
        <w:spacing w:line="360" w:lineRule="auto"/>
        <w:ind w:firstLine="1265" w:firstLineChars="350"/>
        <w:jc w:val="left"/>
      </w:pPr>
      <w:r>
        <w:rPr>
          <w:rFonts w:hint="eastAsia" w:ascii="宋体" w:hAnsi="宋体"/>
          <w:b/>
          <w:sz w:val="36"/>
        </w:rPr>
        <w:t>项目编号：</w:t>
      </w:r>
      <w:r>
        <w:rPr>
          <w:rFonts w:hint="eastAsia"/>
          <w:b/>
          <w:sz w:val="32"/>
          <w:szCs w:val="32"/>
          <w:u w:val="single"/>
        </w:rPr>
        <w:t xml:space="preserve">       </w:t>
      </w:r>
      <w:r>
        <w:rPr>
          <w:rFonts w:hint="eastAsia"/>
          <w:b/>
          <w:sz w:val="32"/>
          <w:szCs w:val="32"/>
          <w:u w:val="single"/>
          <w:lang w:val="en-US" w:eastAsia="zh-CN"/>
        </w:rPr>
        <w:t xml:space="preserve">  </w:t>
      </w:r>
      <w:r>
        <w:rPr>
          <w:rFonts w:hint="eastAsia"/>
          <w:b/>
          <w:sz w:val="32"/>
          <w:szCs w:val="32"/>
          <w:u w:val="single"/>
        </w:rPr>
        <w:t xml:space="preserve"> </w:t>
      </w:r>
      <w:r>
        <w:rPr>
          <w:b/>
          <w:sz w:val="32"/>
          <w:szCs w:val="32"/>
          <w:u w:val="single"/>
        </w:rPr>
        <w:t>2017-ZB-XC032</w:t>
      </w:r>
      <w:r>
        <w:rPr>
          <w:rFonts w:hint="eastAsia"/>
          <w:b/>
          <w:sz w:val="32"/>
          <w:szCs w:val="32"/>
          <w:u w:val="single"/>
        </w:rPr>
        <w:t xml:space="preserve"> </w:t>
      </w:r>
      <w:r>
        <w:rPr>
          <w:rFonts w:hint="eastAsia"/>
          <w:b/>
          <w:sz w:val="32"/>
          <w:szCs w:val="32"/>
          <w:u w:val="single"/>
          <w:lang w:val="en-US" w:eastAsia="zh-CN"/>
        </w:rPr>
        <w:t xml:space="preserve">      </w:t>
      </w:r>
      <w:bookmarkStart w:id="24" w:name="_GoBack"/>
      <w:bookmarkEnd w:id="24"/>
      <w:r>
        <w:rPr>
          <w:rFonts w:hint="eastAsia"/>
          <w:b/>
          <w:sz w:val="32"/>
          <w:szCs w:val="32"/>
          <w:u w:val="single"/>
        </w:rPr>
        <w:t xml:space="preserve"> </w:t>
      </w:r>
      <w:r>
        <w:rPr>
          <w:rFonts w:hint="eastAsia"/>
          <w:sz w:val="32"/>
          <w:szCs w:val="32"/>
          <w:u w:val="single"/>
        </w:rPr>
        <w:t xml:space="preserve">  </w:t>
      </w: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spacing w:before="0" w:after="0"/>
        <w:ind w:firstLine="0"/>
        <w:rPr>
          <w:rFonts w:ascii="宋体" w:hAnsi="宋体"/>
        </w:rPr>
      </w:pPr>
    </w:p>
    <w:p>
      <w:pPr>
        <w:pStyle w:val="57"/>
        <w:ind w:firstLine="0"/>
        <w:jc w:val="center"/>
        <w:rPr>
          <w:b/>
          <w:bCs/>
          <w:sz w:val="32"/>
        </w:rPr>
      </w:pPr>
      <w:r>
        <w:rPr>
          <w:rFonts w:hint="eastAsia"/>
          <w:b/>
          <w:bCs/>
          <w:sz w:val="32"/>
        </w:rPr>
        <w:t>江苏开放大学</w:t>
      </w:r>
    </w:p>
    <w:p>
      <w:pPr>
        <w:pStyle w:val="57"/>
        <w:spacing w:before="0" w:after="0"/>
        <w:ind w:firstLine="643" w:firstLineChars="200"/>
        <w:rPr>
          <w:rFonts w:ascii="宋体" w:hAnsi="宋体"/>
          <w:b/>
          <w:sz w:val="28"/>
          <w:szCs w:val="28"/>
        </w:rPr>
      </w:pPr>
      <w:r>
        <w:rPr>
          <w:b/>
          <w:bCs/>
          <w:sz w:val="32"/>
        </w:rPr>
        <w:br w:type="page"/>
      </w:r>
      <w:bookmarkStart w:id="0" w:name="_Toc49090576"/>
      <w:bookmarkStart w:id="1" w:name="_Toc479757211"/>
      <w:bookmarkStart w:id="2" w:name="_Toc26554094"/>
      <w:bookmarkStart w:id="3" w:name="_Toc462564139"/>
      <w:bookmarkStart w:id="4" w:name="_Toc120614282"/>
      <w:r>
        <w:rPr>
          <w:rFonts w:hint="eastAsia" w:ascii="宋体" w:hAnsi="宋体"/>
          <w:b/>
          <w:sz w:val="28"/>
          <w:szCs w:val="28"/>
        </w:rPr>
        <w:t>特别提示：</w:t>
      </w:r>
    </w:p>
    <w:p>
      <w:pPr>
        <w:pStyle w:val="57"/>
        <w:spacing w:before="0" w:after="0"/>
        <w:ind w:firstLine="562" w:firstLineChars="200"/>
        <w:rPr>
          <w:rFonts w:ascii="宋体" w:hAnsi="宋体"/>
          <w:b/>
          <w:sz w:val="28"/>
          <w:szCs w:val="28"/>
        </w:rPr>
      </w:pPr>
      <w:r>
        <w:rPr>
          <w:rFonts w:hint="eastAsia" w:ascii="宋体" w:hAnsi="宋体"/>
          <w:b/>
          <w:sz w:val="28"/>
          <w:szCs w:val="28"/>
        </w:rPr>
        <w:t>1.请投标人认真阅读招标文件，严格按照招标文件要求制作投标文件，如对招标文件内容和要求有疑问，请电话咨询或书面质疑，以避免投标无效；</w:t>
      </w:r>
    </w:p>
    <w:p>
      <w:pPr>
        <w:pStyle w:val="57"/>
        <w:spacing w:before="0" w:after="0"/>
        <w:ind w:firstLine="562" w:firstLineChars="200"/>
        <w:rPr>
          <w:rFonts w:ascii="宋体" w:hAnsi="宋体"/>
          <w:b/>
          <w:sz w:val="28"/>
          <w:szCs w:val="28"/>
        </w:rPr>
      </w:pPr>
      <w:r>
        <w:rPr>
          <w:rFonts w:hint="eastAsia" w:ascii="宋体" w:hAnsi="宋体"/>
          <w:b/>
          <w:sz w:val="28"/>
          <w:szCs w:val="28"/>
        </w:rPr>
        <w:t>2.招标公告与招标文件不一致的条款以招标文件为准;</w:t>
      </w:r>
    </w:p>
    <w:p>
      <w:pPr>
        <w:pStyle w:val="57"/>
        <w:spacing w:before="0" w:after="0"/>
        <w:ind w:firstLine="562" w:firstLineChars="200"/>
        <w:rPr>
          <w:rFonts w:ascii="宋体" w:hAnsi="宋体"/>
          <w:b/>
          <w:sz w:val="28"/>
          <w:szCs w:val="28"/>
        </w:rPr>
      </w:pPr>
      <w:r>
        <w:rPr>
          <w:rFonts w:hint="eastAsia" w:ascii="宋体" w:hAnsi="宋体"/>
          <w:b/>
          <w:sz w:val="28"/>
          <w:szCs w:val="28"/>
        </w:rPr>
        <w:t>3.如发现招标文件存在影响公正评标的条款、项目，请即向招标联系人质疑、指出。</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4.有恶意串标、提供虚假材料、中标后不按要求履约等行为的供应商将被列入学校采购黑名单，三年之内不能参加学校任何招投标活动，情节严重的，将向省采购中心投诉。</w:t>
      </w:r>
    </w:p>
    <w:p>
      <w:pPr>
        <w:pStyle w:val="57"/>
        <w:spacing w:before="0" w:after="0"/>
        <w:ind w:firstLine="562" w:firstLineChars="200"/>
        <w:rPr>
          <w:rFonts w:ascii="宋体" w:hAnsi="宋体"/>
          <w:b/>
          <w:sz w:val="28"/>
          <w:szCs w:val="28"/>
        </w:rPr>
      </w:pPr>
    </w:p>
    <w:p>
      <w:pPr>
        <w:spacing w:line="360" w:lineRule="auto"/>
        <w:ind w:firstLine="482" w:firstLineChars="200"/>
        <w:rPr>
          <w:b/>
          <w:sz w:val="24"/>
          <w:szCs w:val="24"/>
        </w:rPr>
      </w:pPr>
      <w:r>
        <w:rPr>
          <w:b/>
          <w:sz w:val="24"/>
          <w:szCs w:val="24"/>
        </w:rPr>
        <w:t>一</w:t>
      </w:r>
      <w:r>
        <w:rPr>
          <w:rFonts w:hint="eastAsia"/>
          <w:b/>
          <w:sz w:val="24"/>
          <w:szCs w:val="24"/>
        </w:rPr>
        <w:t>、投标项目基本情况：</w:t>
      </w:r>
    </w:p>
    <w:p>
      <w:pPr>
        <w:spacing w:line="360" w:lineRule="auto"/>
        <w:rPr>
          <w:sz w:val="24"/>
          <w:szCs w:val="24"/>
        </w:rPr>
      </w:pPr>
      <w:r>
        <w:rPr>
          <w:rFonts w:hint="eastAsia"/>
          <w:sz w:val="24"/>
          <w:szCs w:val="24"/>
        </w:rPr>
        <w:t xml:space="preserve">    </w:t>
      </w:r>
      <w:r>
        <w:rPr>
          <w:sz w:val="24"/>
          <w:szCs w:val="24"/>
        </w:rPr>
        <w:t>本项目预算：</w:t>
      </w:r>
      <w:r>
        <w:rPr>
          <w:rFonts w:hint="eastAsia"/>
          <w:sz w:val="24"/>
          <w:szCs w:val="24"/>
        </w:rPr>
        <w:t>28.3万元。</w:t>
      </w:r>
    </w:p>
    <w:p>
      <w:pPr>
        <w:spacing w:line="360" w:lineRule="auto"/>
        <w:ind w:firstLine="482" w:firstLineChars="200"/>
        <w:rPr>
          <w:b/>
          <w:sz w:val="24"/>
          <w:szCs w:val="24"/>
        </w:rPr>
      </w:pPr>
      <w:r>
        <w:rPr>
          <w:rFonts w:hint="eastAsia"/>
          <w:b/>
          <w:sz w:val="24"/>
          <w:szCs w:val="24"/>
        </w:rPr>
        <w:t>二、投标人资质要求：</w:t>
      </w:r>
    </w:p>
    <w:p>
      <w:pPr>
        <w:spacing w:line="360" w:lineRule="auto"/>
        <w:ind w:firstLine="480" w:firstLineChars="200"/>
        <w:rPr>
          <w:sz w:val="24"/>
          <w:szCs w:val="24"/>
        </w:rPr>
      </w:pPr>
      <w:r>
        <w:rPr>
          <w:rFonts w:hint="eastAsia"/>
          <w:sz w:val="24"/>
          <w:szCs w:val="24"/>
        </w:rPr>
        <w:t>（一）参加本次采购活动应当符合《中华人民共和国政府采购法》第二十二条的规定，并具备下列条件：</w:t>
      </w:r>
    </w:p>
    <w:p>
      <w:pPr>
        <w:spacing w:line="360" w:lineRule="auto"/>
        <w:ind w:firstLine="480" w:firstLineChars="200"/>
        <w:rPr>
          <w:sz w:val="24"/>
          <w:szCs w:val="24"/>
        </w:rPr>
      </w:pPr>
      <w:r>
        <w:rPr>
          <w:rFonts w:hint="eastAsia"/>
          <w:sz w:val="24"/>
          <w:szCs w:val="24"/>
        </w:rPr>
        <w:t>（1）具有独立承担民事责任的能力（请提供法人或者其他组织的营业执照等证明文件，自然人的身份证明）；</w:t>
      </w:r>
    </w:p>
    <w:p>
      <w:pPr>
        <w:spacing w:line="360" w:lineRule="auto"/>
        <w:ind w:firstLine="480" w:firstLineChars="200"/>
        <w:rPr>
          <w:sz w:val="24"/>
          <w:szCs w:val="24"/>
        </w:rPr>
      </w:pPr>
      <w:r>
        <w:rPr>
          <w:rFonts w:hint="eastAsia"/>
          <w:sz w:val="24"/>
          <w:szCs w:val="24"/>
        </w:rPr>
        <w:t>（2）具有良好的商业信誉和健全的财务会计制度（请提上一年度供财务状况报告）；</w:t>
      </w:r>
    </w:p>
    <w:p>
      <w:pPr>
        <w:spacing w:line="360" w:lineRule="auto"/>
        <w:ind w:firstLine="480" w:firstLineChars="200"/>
        <w:rPr>
          <w:sz w:val="24"/>
          <w:szCs w:val="24"/>
        </w:rPr>
      </w:pPr>
      <w:r>
        <w:rPr>
          <w:rFonts w:hint="eastAsia"/>
          <w:sz w:val="24"/>
          <w:szCs w:val="24"/>
        </w:rPr>
        <w:t>（3）具有履行合同所必需的设备和专业技术能力（请提供具备履行合同所必需的设备和专业技术能力的证明材料）；</w:t>
      </w:r>
    </w:p>
    <w:p>
      <w:pPr>
        <w:spacing w:line="360" w:lineRule="auto"/>
        <w:ind w:firstLine="480" w:firstLineChars="200"/>
        <w:rPr>
          <w:sz w:val="24"/>
          <w:szCs w:val="24"/>
        </w:rPr>
      </w:pPr>
      <w:r>
        <w:rPr>
          <w:rFonts w:hint="eastAsia"/>
          <w:sz w:val="24"/>
          <w:szCs w:val="24"/>
        </w:rPr>
        <w:t>（4）有依法缴纳税收和社会保障资金的良好记录（请提供依法缴纳税收和社会保障资金的相关材料)；</w:t>
      </w:r>
    </w:p>
    <w:p>
      <w:pPr>
        <w:spacing w:line="360" w:lineRule="auto"/>
        <w:ind w:firstLine="480" w:firstLineChars="200"/>
        <w:rPr>
          <w:sz w:val="24"/>
          <w:szCs w:val="24"/>
        </w:rPr>
      </w:pPr>
      <w:r>
        <w:rPr>
          <w:rFonts w:hint="eastAsia"/>
          <w:sz w:val="24"/>
          <w:szCs w:val="24"/>
        </w:rPr>
        <w:t>（5）参加政府采购活动前三年内，在经营活动中没有重大违法记录（请提供参加政府采购活动前3年内在经营活动中没有重大违法记录的书面声明）；</w:t>
      </w:r>
    </w:p>
    <w:p>
      <w:pPr>
        <w:spacing w:line="360" w:lineRule="auto"/>
        <w:ind w:firstLine="480" w:firstLineChars="200"/>
        <w:rPr>
          <w:sz w:val="24"/>
          <w:szCs w:val="24"/>
        </w:rPr>
      </w:pPr>
      <w:r>
        <w:rPr>
          <w:rFonts w:hint="eastAsia"/>
          <w:sz w:val="24"/>
          <w:szCs w:val="24"/>
        </w:rPr>
        <w:t>（6）法</w:t>
      </w:r>
      <w:r>
        <w:rPr>
          <w:sz w:val="24"/>
          <w:szCs w:val="24"/>
        </w:rPr>
        <w:t>律、行政法规规定的其他条件</w:t>
      </w:r>
    </w:p>
    <w:p>
      <w:pPr>
        <w:spacing w:line="360" w:lineRule="auto"/>
        <w:ind w:firstLine="480" w:firstLineChars="200"/>
        <w:rPr>
          <w:sz w:val="24"/>
          <w:szCs w:val="24"/>
        </w:rPr>
      </w:pPr>
      <w:r>
        <w:rPr>
          <w:rFonts w:hint="eastAsia"/>
          <w:sz w:val="24"/>
          <w:szCs w:val="24"/>
        </w:rPr>
        <w:t>（二）采购人根据采购项目的特殊要求规定的特定条件：</w:t>
      </w:r>
    </w:p>
    <w:p>
      <w:pPr>
        <w:spacing w:line="360" w:lineRule="auto"/>
        <w:ind w:firstLine="480" w:firstLineChars="200"/>
        <w:rPr>
          <w:sz w:val="24"/>
          <w:szCs w:val="24"/>
        </w:rPr>
      </w:pPr>
      <w:r>
        <w:rPr>
          <w:rFonts w:hint="eastAsia"/>
          <w:sz w:val="24"/>
          <w:szCs w:val="24"/>
        </w:rPr>
        <w:t>如为代理商投标，还应提供制造商或其驻中国办事机构或其在中国销售总代理的投标授权委托书，并明确承担一切售前、售后责任。</w:t>
      </w:r>
    </w:p>
    <w:p>
      <w:pPr>
        <w:spacing w:line="360" w:lineRule="auto"/>
        <w:ind w:firstLine="480" w:firstLineChars="200"/>
        <w:rPr>
          <w:sz w:val="24"/>
          <w:szCs w:val="24"/>
        </w:rPr>
      </w:pPr>
      <w:r>
        <w:rPr>
          <w:rFonts w:hint="eastAsia"/>
          <w:sz w:val="24"/>
          <w:szCs w:val="24"/>
        </w:rPr>
        <w:t>（三）本项目不接受联合体响应。</w:t>
      </w:r>
    </w:p>
    <w:p>
      <w:pPr>
        <w:spacing w:line="360" w:lineRule="auto"/>
        <w:ind w:firstLine="482" w:firstLineChars="200"/>
        <w:rPr>
          <w:b/>
          <w:sz w:val="24"/>
          <w:szCs w:val="24"/>
        </w:rPr>
      </w:pPr>
      <w:r>
        <w:rPr>
          <w:b/>
          <w:sz w:val="24"/>
          <w:szCs w:val="24"/>
        </w:rPr>
        <w:t>三、报价及付款条件</w:t>
      </w:r>
    </w:p>
    <w:p>
      <w:pPr>
        <w:spacing w:line="360" w:lineRule="auto"/>
        <w:rPr>
          <w:sz w:val="24"/>
          <w:szCs w:val="24"/>
        </w:rPr>
      </w:pPr>
      <w:r>
        <w:rPr>
          <w:rFonts w:hint="eastAsia"/>
          <w:sz w:val="24"/>
          <w:szCs w:val="24"/>
        </w:rPr>
        <w:t xml:space="preserve">    </w:t>
      </w:r>
      <w:r>
        <w:rPr>
          <w:sz w:val="24"/>
          <w:szCs w:val="24"/>
        </w:rPr>
        <w:t>（一）投标报价为一次性报价方式，包括产品本身价格、安装费、运输费、验收费、技术服务费（包括技术资料、图纸提供等）、伴随服务及因产品本身及供货相关的各种税金等全部费用。</w:t>
      </w:r>
    </w:p>
    <w:p>
      <w:pPr>
        <w:spacing w:line="360" w:lineRule="auto"/>
        <w:rPr>
          <w:sz w:val="24"/>
          <w:szCs w:val="24"/>
        </w:rPr>
      </w:pPr>
      <w:r>
        <w:rPr>
          <w:rFonts w:hint="eastAsia"/>
          <w:sz w:val="24"/>
          <w:szCs w:val="24"/>
        </w:rPr>
        <w:t xml:space="preserve">    </w:t>
      </w:r>
      <w:r>
        <w:rPr>
          <w:sz w:val="24"/>
          <w:szCs w:val="24"/>
        </w:rPr>
        <w:t>（二）学校不提供预付款，所有货物全部到货，且验收合格后付款。</w:t>
      </w:r>
    </w:p>
    <w:p>
      <w:pPr>
        <w:spacing w:line="360" w:lineRule="auto"/>
        <w:rPr>
          <w:sz w:val="24"/>
          <w:szCs w:val="24"/>
        </w:rPr>
      </w:pPr>
      <w:r>
        <w:rPr>
          <w:rFonts w:hint="eastAsia"/>
          <w:sz w:val="24"/>
          <w:szCs w:val="24"/>
        </w:rPr>
        <w:t xml:space="preserve">    </w:t>
      </w:r>
      <w:r>
        <w:rPr>
          <w:sz w:val="24"/>
          <w:szCs w:val="24"/>
        </w:rPr>
        <w:t>（三）报价单位需对上述项目全部报价，最低价不作为中标保证（在密封的文件上注明所投项目）。</w:t>
      </w:r>
    </w:p>
    <w:p>
      <w:pPr>
        <w:spacing w:line="360" w:lineRule="auto"/>
        <w:rPr>
          <w:b/>
          <w:sz w:val="24"/>
          <w:szCs w:val="24"/>
        </w:rPr>
      </w:pPr>
      <w:r>
        <w:rPr>
          <w:rFonts w:hint="eastAsia"/>
          <w:sz w:val="24"/>
          <w:szCs w:val="24"/>
        </w:rPr>
        <w:t xml:space="preserve">   </w:t>
      </w:r>
      <w:r>
        <w:rPr>
          <w:rFonts w:hint="eastAsia"/>
          <w:b/>
          <w:sz w:val="24"/>
          <w:szCs w:val="24"/>
        </w:rPr>
        <w:t xml:space="preserve"> 四、评标方式：</w:t>
      </w:r>
      <w:r>
        <w:rPr>
          <w:b/>
          <w:sz w:val="24"/>
          <w:szCs w:val="24"/>
        </w:rPr>
        <w:t xml:space="preserve"> </w:t>
      </w:r>
    </w:p>
    <w:p>
      <w:pPr>
        <w:spacing w:line="360" w:lineRule="auto"/>
        <w:ind w:firstLine="480" w:firstLineChars="200"/>
        <w:jc w:val="left"/>
        <w:rPr>
          <w:sz w:val="24"/>
          <w:szCs w:val="24"/>
        </w:rPr>
      </w:pPr>
      <w:r>
        <w:rPr>
          <w:rFonts w:hint="eastAsia"/>
          <w:sz w:val="24"/>
          <w:szCs w:val="24"/>
        </w:rPr>
        <w:t>采用经评审的最低投标价法， 即在最大限度地满足招标文件实质性要求的前提下，按照招标文件中规定的各项因素进行评审后，以投标报价最低的作为中标候选供应商或中标供应商的评标方法。</w:t>
      </w:r>
    </w:p>
    <w:p>
      <w:pPr>
        <w:spacing w:line="360" w:lineRule="auto"/>
        <w:ind w:firstLine="422" w:firstLineChars="200"/>
        <w:rPr>
          <w:b/>
          <w:sz w:val="24"/>
          <w:szCs w:val="24"/>
        </w:rPr>
      </w:pPr>
      <w:r>
        <w:rPr>
          <w:rFonts w:hint="eastAsia"/>
          <w:b/>
        </w:rPr>
        <w:t>五</w:t>
      </w:r>
      <w:r>
        <w:rPr>
          <w:rFonts w:hint="eastAsia"/>
          <w:b/>
          <w:sz w:val="24"/>
          <w:szCs w:val="24"/>
        </w:rPr>
        <w:t>、标书要求：</w:t>
      </w:r>
      <w:bookmarkStart w:id="5" w:name="_Toc350199955"/>
    </w:p>
    <w:p>
      <w:pPr>
        <w:spacing w:line="360" w:lineRule="auto"/>
        <w:ind w:firstLine="480" w:firstLineChars="200"/>
        <w:rPr>
          <w:b/>
          <w:sz w:val="24"/>
          <w:szCs w:val="24"/>
        </w:rPr>
      </w:pPr>
      <w:r>
        <w:rPr>
          <w:rFonts w:hint="eastAsia"/>
          <w:sz w:val="24"/>
          <w:szCs w:val="24"/>
        </w:rPr>
        <w:t>(一）标书一式伍份，正本壹份、副本肆份；必须装订成册（胶封）并逐页加注页码；</w:t>
      </w:r>
    </w:p>
    <w:p>
      <w:pPr>
        <w:spacing w:line="360" w:lineRule="auto"/>
        <w:ind w:firstLine="240" w:firstLineChars="100"/>
        <w:rPr>
          <w:sz w:val="24"/>
          <w:szCs w:val="24"/>
        </w:rPr>
      </w:pPr>
      <w:r>
        <w:rPr>
          <w:rFonts w:hint="eastAsia"/>
          <w:sz w:val="24"/>
          <w:szCs w:val="24"/>
        </w:rPr>
        <w:t>（二）投标文件须密封并在封口加盖公章，否则文件将被拒收。</w:t>
      </w:r>
    </w:p>
    <w:bookmarkEnd w:id="5"/>
    <w:p>
      <w:pPr>
        <w:spacing w:line="360" w:lineRule="auto"/>
        <w:rPr>
          <w:b/>
          <w:sz w:val="24"/>
          <w:szCs w:val="24"/>
        </w:rPr>
      </w:pPr>
      <w:r>
        <w:rPr>
          <w:rFonts w:hint="eastAsia"/>
          <w:b/>
          <w:sz w:val="24"/>
          <w:szCs w:val="24"/>
        </w:rPr>
        <w:t xml:space="preserve">   六、其他要求：</w:t>
      </w:r>
    </w:p>
    <w:p>
      <w:pPr>
        <w:spacing w:line="360" w:lineRule="auto"/>
        <w:ind w:firstLine="240" w:firstLineChars="100"/>
        <w:rPr>
          <w:sz w:val="24"/>
          <w:szCs w:val="24"/>
        </w:rPr>
      </w:pPr>
      <w:r>
        <w:rPr>
          <w:rFonts w:hint="eastAsia"/>
          <w:sz w:val="24"/>
          <w:szCs w:val="24"/>
        </w:rPr>
        <w:t>（一）招标文件是合同不可分割的一部分，参与投标即视为对招标文件要求的接受；</w:t>
      </w:r>
    </w:p>
    <w:p>
      <w:pPr>
        <w:spacing w:line="360" w:lineRule="auto"/>
        <w:ind w:firstLine="240" w:firstLineChars="100"/>
        <w:rPr>
          <w:sz w:val="24"/>
          <w:szCs w:val="24"/>
        </w:rPr>
      </w:pPr>
      <w:r>
        <w:rPr>
          <w:rFonts w:hint="eastAsia"/>
          <w:sz w:val="24"/>
          <w:szCs w:val="24"/>
        </w:rPr>
        <w:t>（二）请投标人务必认真阅读本招标文件，严格遵照标书内容应标；</w:t>
      </w:r>
    </w:p>
    <w:p>
      <w:pPr>
        <w:spacing w:line="360" w:lineRule="auto"/>
        <w:ind w:firstLine="240" w:firstLineChars="100"/>
        <w:rPr>
          <w:sz w:val="24"/>
          <w:szCs w:val="24"/>
        </w:rPr>
      </w:pPr>
      <w:r>
        <w:rPr>
          <w:rFonts w:hint="eastAsia"/>
          <w:sz w:val="24"/>
          <w:szCs w:val="24"/>
        </w:rPr>
        <w:t>（三）中标方负责设备的设计、安装；</w:t>
      </w:r>
    </w:p>
    <w:p>
      <w:pPr>
        <w:spacing w:line="360" w:lineRule="auto"/>
        <w:ind w:firstLine="240" w:firstLineChars="100"/>
      </w:pPr>
      <w:r>
        <w:rPr>
          <w:rFonts w:hint="eastAsia"/>
          <w:sz w:val="24"/>
          <w:szCs w:val="24"/>
        </w:rPr>
        <w:t>（四）付款方式：货到安装验收合格后支付合同总价的95%，质保期满后支付5%</w:t>
      </w:r>
      <w:r>
        <w:rPr>
          <w:rFonts w:hint="eastAsia"/>
        </w:rPr>
        <w:t>。</w:t>
      </w:r>
    </w:p>
    <w:p>
      <w:pPr>
        <w:spacing w:line="360" w:lineRule="auto"/>
        <w:ind w:firstLine="210" w:firstLineChars="100"/>
        <w:rPr>
          <w:b/>
          <w:sz w:val="24"/>
          <w:szCs w:val="24"/>
        </w:rPr>
      </w:pPr>
      <w:r>
        <w:rPr>
          <w:rFonts w:hint="eastAsia" w:cs="宋体"/>
        </w:rPr>
        <w:t xml:space="preserve"> </w:t>
      </w:r>
      <w:r>
        <w:rPr>
          <w:rFonts w:hint="eastAsia"/>
          <w:b/>
          <w:sz w:val="24"/>
          <w:szCs w:val="24"/>
        </w:rPr>
        <w:t>七、下列情况者视为废标：</w:t>
      </w:r>
    </w:p>
    <w:p>
      <w:pPr>
        <w:spacing w:line="360" w:lineRule="auto"/>
        <w:ind w:firstLine="240" w:firstLineChars="100"/>
        <w:rPr>
          <w:sz w:val="24"/>
          <w:szCs w:val="24"/>
        </w:rPr>
      </w:pPr>
      <w:r>
        <w:rPr>
          <w:rFonts w:hint="eastAsia"/>
          <w:sz w:val="24"/>
          <w:szCs w:val="24"/>
        </w:rPr>
        <w:t>（一）投标文件资格审查项中任意一项不响应；</w:t>
      </w:r>
    </w:p>
    <w:p>
      <w:pPr>
        <w:spacing w:line="360" w:lineRule="auto"/>
        <w:ind w:firstLine="240" w:firstLineChars="100"/>
        <w:rPr>
          <w:sz w:val="24"/>
          <w:szCs w:val="24"/>
        </w:rPr>
      </w:pPr>
      <w:r>
        <w:rPr>
          <w:rFonts w:hint="eastAsia"/>
          <w:sz w:val="24"/>
          <w:szCs w:val="24"/>
        </w:rPr>
        <w:t>（二）开标一览表、法人授权委托书提供信息不全或未盖公章或未手写签名；</w:t>
      </w:r>
    </w:p>
    <w:p>
      <w:pPr>
        <w:spacing w:line="360" w:lineRule="auto"/>
        <w:ind w:firstLine="240" w:firstLineChars="100"/>
        <w:rPr>
          <w:sz w:val="24"/>
          <w:szCs w:val="24"/>
        </w:rPr>
      </w:pPr>
      <w:r>
        <w:rPr>
          <w:rFonts w:hint="eastAsia"/>
          <w:sz w:val="24"/>
          <w:szCs w:val="24"/>
        </w:rPr>
        <w:t>（三）投标文件未装订成册（胶封）或未逐页标注页码；</w:t>
      </w:r>
    </w:p>
    <w:p>
      <w:pPr>
        <w:spacing w:line="360" w:lineRule="auto"/>
        <w:ind w:firstLine="240" w:firstLineChars="100"/>
        <w:rPr>
          <w:sz w:val="24"/>
          <w:szCs w:val="24"/>
        </w:rPr>
      </w:pPr>
      <w:r>
        <w:rPr>
          <w:rFonts w:hint="eastAsia"/>
          <w:sz w:val="24"/>
          <w:szCs w:val="24"/>
        </w:rPr>
        <w:t>（四）投标文件附有招标人不能接受的条件；</w:t>
      </w:r>
    </w:p>
    <w:p>
      <w:pPr>
        <w:spacing w:line="360" w:lineRule="auto"/>
        <w:ind w:firstLine="240" w:firstLineChars="100"/>
        <w:rPr>
          <w:sz w:val="24"/>
          <w:szCs w:val="24"/>
        </w:rPr>
      </w:pPr>
      <w:r>
        <w:rPr>
          <w:rFonts w:hint="eastAsia"/>
          <w:sz w:val="24"/>
          <w:szCs w:val="24"/>
        </w:rPr>
        <w:t>（五）不符合招标文件中规定的实质性要求（报价、技术要求、投标人资质要求）；</w:t>
      </w:r>
    </w:p>
    <w:p>
      <w:pPr>
        <w:spacing w:line="360" w:lineRule="auto"/>
        <w:ind w:firstLine="240" w:firstLineChars="100"/>
        <w:rPr>
          <w:sz w:val="24"/>
          <w:szCs w:val="24"/>
        </w:rPr>
      </w:pPr>
      <w:r>
        <w:rPr>
          <w:rFonts w:hint="eastAsia"/>
          <w:sz w:val="24"/>
          <w:szCs w:val="24"/>
        </w:rPr>
        <w:t>（六）有三项及以上技术指标负偏离的；</w:t>
      </w:r>
    </w:p>
    <w:p>
      <w:pPr>
        <w:spacing w:line="360" w:lineRule="auto"/>
        <w:ind w:firstLine="240" w:firstLineChars="100"/>
        <w:rPr>
          <w:sz w:val="24"/>
          <w:szCs w:val="24"/>
        </w:rPr>
      </w:pPr>
      <w:r>
        <w:rPr>
          <w:rFonts w:hint="eastAsia"/>
          <w:sz w:val="24"/>
          <w:szCs w:val="24"/>
        </w:rPr>
        <w:t>（七）不响应招标文件规定的付款方式；</w:t>
      </w:r>
    </w:p>
    <w:p>
      <w:pPr>
        <w:spacing w:line="360" w:lineRule="auto"/>
        <w:ind w:firstLine="240" w:firstLineChars="100"/>
        <w:rPr>
          <w:sz w:val="24"/>
          <w:szCs w:val="24"/>
        </w:rPr>
      </w:pPr>
      <w:r>
        <w:rPr>
          <w:rFonts w:hint="eastAsia"/>
          <w:sz w:val="24"/>
          <w:szCs w:val="24"/>
        </w:rPr>
        <w:t>（八）不接受或不满足上一条（四、其他要求）中任意一项；</w:t>
      </w:r>
    </w:p>
    <w:p>
      <w:pPr>
        <w:spacing w:line="360" w:lineRule="auto"/>
        <w:ind w:firstLine="240" w:firstLineChars="100"/>
        <w:rPr>
          <w:sz w:val="24"/>
          <w:szCs w:val="24"/>
        </w:rPr>
      </w:pPr>
      <w:r>
        <w:rPr>
          <w:rFonts w:hint="eastAsia"/>
          <w:sz w:val="24"/>
          <w:szCs w:val="24"/>
        </w:rPr>
        <w:t>（九）有法律法规规定的其他违法行为。</w:t>
      </w:r>
    </w:p>
    <w:p>
      <w:pPr>
        <w:spacing w:line="360" w:lineRule="auto"/>
        <w:ind w:firstLine="480" w:firstLineChars="200"/>
        <w:rPr>
          <w:sz w:val="24"/>
          <w:szCs w:val="24"/>
        </w:rPr>
      </w:pPr>
      <w:r>
        <w:rPr>
          <w:rFonts w:hint="eastAsia"/>
          <w:sz w:val="24"/>
          <w:szCs w:val="24"/>
        </w:rPr>
        <w:t>八</w:t>
      </w:r>
      <w:r>
        <w:rPr>
          <w:rFonts w:hint="eastAsia"/>
          <w:b/>
          <w:sz w:val="24"/>
          <w:szCs w:val="24"/>
        </w:rPr>
        <w:t>、报名方法：</w:t>
      </w:r>
    </w:p>
    <w:p>
      <w:pPr>
        <w:spacing w:line="360" w:lineRule="auto"/>
        <w:ind w:firstLine="480" w:firstLineChars="200"/>
        <w:rPr>
          <w:sz w:val="24"/>
          <w:szCs w:val="24"/>
        </w:rPr>
      </w:pPr>
      <w:r>
        <w:rPr>
          <w:rFonts w:hint="eastAsia"/>
          <w:sz w:val="24"/>
          <w:szCs w:val="24"/>
        </w:rPr>
        <w:t>有意投标的投标人请在2017年7月5日下午17:00前发送单位名称、联系人、联系电话及项目编号和项目名称到296049516@qq.com邮箱中，并在邮件标题中注明“供配电实训设备投标报名”。</w:t>
      </w:r>
    </w:p>
    <w:p>
      <w:pPr>
        <w:spacing w:line="360" w:lineRule="auto"/>
        <w:rPr>
          <w:sz w:val="24"/>
          <w:szCs w:val="24"/>
        </w:rPr>
      </w:pPr>
      <w:r>
        <w:rPr>
          <w:rFonts w:hint="eastAsia"/>
          <w:sz w:val="24"/>
          <w:szCs w:val="24"/>
        </w:rPr>
        <w:t>凡未按要求报名者学校不接受其投标。</w:t>
      </w:r>
    </w:p>
    <w:p>
      <w:pPr>
        <w:spacing w:line="360" w:lineRule="auto"/>
        <w:rPr>
          <w:b/>
          <w:sz w:val="24"/>
          <w:szCs w:val="24"/>
        </w:rPr>
      </w:pPr>
      <w:r>
        <w:rPr>
          <w:rFonts w:hint="eastAsia"/>
          <w:sz w:val="24"/>
          <w:szCs w:val="24"/>
        </w:rPr>
        <w:t xml:space="preserve">  </w:t>
      </w:r>
      <w:r>
        <w:rPr>
          <w:rFonts w:hint="eastAsia"/>
          <w:b/>
          <w:sz w:val="24"/>
          <w:szCs w:val="24"/>
        </w:rPr>
        <w:t xml:space="preserve">  九、时间、地点安排：</w:t>
      </w:r>
    </w:p>
    <w:p>
      <w:pPr>
        <w:spacing w:line="360" w:lineRule="auto"/>
        <w:ind w:firstLine="240" w:firstLineChars="100"/>
        <w:rPr>
          <w:sz w:val="24"/>
          <w:szCs w:val="24"/>
        </w:rPr>
      </w:pPr>
      <w:r>
        <w:rPr>
          <w:rFonts w:hint="eastAsia"/>
          <w:sz w:val="24"/>
          <w:szCs w:val="24"/>
        </w:rPr>
        <w:t>（一）标书送达时间：2017年7月6日上午9:30；</w:t>
      </w:r>
    </w:p>
    <w:p>
      <w:pPr>
        <w:spacing w:line="360" w:lineRule="auto"/>
        <w:ind w:firstLine="240" w:firstLineChars="100"/>
        <w:rPr>
          <w:sz w:val="24"/>
          <w:szCs w:val="24"/>
        </w:rPr>
      </w:pPr>
      <w:r>
        <w:rPr>
          <w:rFonts w:hint="eastAsia"/>
          <w:sz w:val="24"/>
          <w:szCs w:val="24"/>
        </w:rPr>
        <w:t>（二）标书送达截止时间：2017年7月6日上午9:30；</w:t>
      </w:r>
    </w:p>
    <w:p>
      <w:pPr>
        <w:spacing w:line="360" w:lineRule="auto"/>
        <w:ind w:firstLine="240" w:firstLineChars="100"/>
        <w:rPr>
          <w:sz w:val="24"/>
          <w:szCs w:val="24"/>
        </w:rPr>
      </w:pPr>
      <w:r>
        <w:rPr>
          <w:rFonts w:hint="eastAsia"/>
          <w:sz w:val="24"/>
          <w:szCs w:val="24"/>
        </w:rPr>
        <w:t>（三）送达地点：</w:t>
      </w:r>
      <w:r>
        <w:rPr>
          <w:sz w:val="24"/>
          <w:szCs w:val="24"/>
        </w:rPr>
        <w:t>南京市鼓楼区江东北路399号（江东北路与定淮门大街交叉口西南角）二楼第</w:t>
      </w:r>
      <w:r>
        <w:rPr>
          <w:rFonts w:hint="eastAsia"/>
          <w:sz w:val="24"/>
          <w:szCs w:val="24"/>
        </w:rPr>
        <w:t>一</w:t>
      </w:r>
      <w:r>
        <w:rPr>
          <w:sz w:val="24"/>
          <w:szCs w:val="24"/>
        </w:rPr>
        <w:t>会议室</w:t>
      </w:r>
      <w:r>
        <w:rPr>
          <w:rFonts w:hint="eastAsia"/>
          <w:sz w:val="24"/>
          <w:szCs w:val="24"/>
        </w:rPr>
        <w:t>；</w:t>
      </w:r>
    </w:p>
    <w:p>
      <w:pPr>
        <w:spacing w:line="360" w:lineRule="auto"/>
        <w:ind w:firstLine="240" w:firstLineChars="100"/>
        <w:rPr>
          <w:sz w:val="24"/>
          <w:szCs w:val="24"/>
        </w:rPr>
      </w:pPr>
      <w:r>
        <w:rPr>
          <w:rFonts w:hint="eastAsia"/>
          <w:sz w:val="24"/>
          <w:szCs w:val="24"/>
        </w:rPr>
        <w:t>（四）开标时间：2017年7月6日上午9:30。</w:t>
      </w:r>
    </w:p>
    <w:p>
      <w:pPr>
        <w:spacing w:line="360" w:lineRule="auto"/>
        <w:ind w:firstLine="482" w:firstLineChars="200"/>
        <w:rPr>
          <w:b/>
          <w:sz w:val="24"/>
          <w:szCs w:val="24"/>
        </w:rPr>
      </w:pPr>
      <w:r>
        <w:rPr>
          <w:rFonts w:hint="eastAsia"/>
          <w:b/>
          <w:sz w:val="24"/>
          <w:szCs w:val="24"/>
        </w:rPr>
        <w:t>十、联系方式：</w:t>
      </w:r>
    </w:p>
    <w:p>
      <w:pPr>
        <w:spacing w:line="360" w:lineRule="auto"/>
        <w:ind w:firstLine="240" w:firstLineChars="100"/>
        <w:rPr>
          <w:sz w:val="24"/>
          <w:szCs w:val="24"/>
        </w:rPr>
      </w:pPr>
      <w:r>
        <w:rPr>
          <w:rFonts w:hint="eastAsia"/>
          <w:sz w:val="24"/>
          <w:szCs w:val="24"/>
        </w:rPr>
        <w:t>（一）地址：</w:t>
      </w:r>
      <w:r>
        <w:rPr>
          <w:sz w:val="24"/>
          <w:szCs w:val="24"/>
        </w:rPr>
        <w:t>南京市鼓楼区江东北路399号（江东北路与定淮门大街交叉口西南角）</w:t>
      </w:r>
      <w:r>
        <w:rPr>
          <w:rFonts w:hint="eastAsia"/>
          <w:sz w:val="24"/>
          <w:szCs w:val="24"/>
        </w:rPr>
        <w:t>1115室；</w:t>
      </w:r>
    </w:p>
    <w:p>
      <w:pPr>
        <w:spacing w:line="360" w:lineRule="auto"/>
        <w:ind w:firstLine="240" w:firstLineChars="100"/>
        <w:rPr>
          <w:sz w:val="24"/>
          <w:szCs w:val="24"/>
        </w:rPr>
      </w:pPr>
      <w:r>
        <w:rPr>
          <w:rFonts w:hint="eastAsia"/>
          <w:sz w:val="24"/>
          <w:szCs w:val="24"/>
        </w:rPr>
        <w:t>（二）邮编：</w:t>
      </w:r>
      <w:r>
        <w:rPr>
          <w:sz w:val="24"/>
          <w:szCs w:val="24"/>
        </w:rPr>
        <w:t>2100</w:t>
      </w:r>
      <w:r>
        <w:rPr>
          <w:rFonts w:hint="eastAsia"/>
          <w:sz w:val="24"/>
          <w:szCs w:val="24"/>
        </w:rPr>
        <w:t>36；</w:t>
      </w:r>
    </w:p>
    <w:p>
      <w:pPr>
        <w:spacing w:line="360" w:lineRule="auto"/>
        <w:ind w:firstLine="240" w:firstLineChars="100"/>
        <w:rPr>
          <w:sz w:val="24"/>
          <w:szCs w:val="24"/>
        </w:rPr>
      </w:pPr>
      <w:r>
        <w:rPr>
          <w:rFonts w:hint="eastAsia"/>
          <w:sz w:val="24"/>
          <w:szCs w:val="24"/>
        </w:rPr>
        <w:t>（三）电话：</w:t>
      </w:r>
      <w:r>
        <w:rPr>
          <w:sz w:val="24"/>
          <w:szCs w:val="24"/>
        </w:rPr>
        <w:t>(025)</w:t>
      </w:r>
      <w:r>
        <w:rPr>
          <w:rFonts w:hint="eastAsia"/>
          <w:sz w:val="24"/>
          <w:szCs w:val="24"/>
        </w:rPr>
        <w:t>86265605；</w:t>
      </w:r>
    </w:p>
    <w:p>
      <w:pPr>
        <w:spacing w:line="360" w:lineRule="auto"/>
        <w:ind w:firstLine="240" w:firstLineChars="100"/>
        <w:rPr>
          <w:sz w:val="24"/>
          <w:szCs w:val="24"/>
        </w:rPr>
      </w:pPr>
      <w:r>
        <w:rPr>
          <w:rFonts w:hint="eastAsia"/>
          <w:sz w:val="24"/>
          <w:szCs w:val="24"/>
        </w:rPr>
        <w:t>（四）联系人：李老师。</w:t>
      </w:r>
    </w:p>
    <w:p>
      <w:pPr>
        <w:widowControl/>
        <w:snapToGrid w:val="0"/>
        <w:spacing w:line="360" w:lineRule="auto"/>
        <w:ind w:firstLine="361" w:firstLineChars="150"/>
        <w:jc w:val="left"/>
        <w:rPr>
          <w:rFonts w:ascii="宋体" w:hAnsi="宋体"/>
          <w:b/>
          <w:sz w:val="24"/>
          <w:szCs w:val="24"/>
        </w:rPr>
      </w:pPr>
      <w:r>
        <w:rPr>
          <w:rFonts w:hint="eastAsia" w:ascii="宋体" w:hAnsi="宋体"/>
          <w:b/>
          <w:sz w:val="24"/>
          <w:szCs w:val="24"/>
        </w:rPr>
        <w:t>十一、相关要求：</w:t>
      </w:r>
    </w:p>
    <w:bookmarkEnd w:id="0"/>
    <w:bookmarkEnd w:id="1"/>
    <w:bookmarkEnd w:id="2"/>
    <w:bookmarkEnd w:id="3"/>
    <w:bookmarkEnd w:id="4"/>
    <w:p>
      <w:pPr>
        <w:spacing w:line="360" w:lineRule="auto"/>
        <w:outlineLvl w:val="1"/>
        <w:rPr>
          <w:bCs/>
          <w:sz w:val="24"/>
          <w:szCs w:val="20"/>
        </w:rPr>
      </w:pPr>
      <w:r>
        <w:rPr>
          <w:rFonts w:hint="eastAsia"/>
          <w:bCs/>
          <w:sz w:val="24"/>
          <w:szCs w:val="20"/>
        </w:rPr>
        <w:t>（一）招标采购项目说明及主要内容</w:t>
      </w:r>
    </w:p>
    <w:tbl>
      <w:tblPr>
        <w:tblStyle w:val="48"/>
        <w:tblW w:w="8804" w:type="dxa"/>
        <w:tblInd w:w="93" w:type="dxa"/>
        <w:tblLayout w:type="fixed"/>
        <w:tblCellMar>
          <w:top w:w="0" w:type="dxa"/>
          <w:left w:w="108" w:type="dxa"/>
          <w:bottom w:w="0" w:type="dxa"/>
          <w:right w:w="108" w:type="dxa"/>
        </w:tblCellMar>
      </w:tblPr>
      <w:tblGrid>
        <w:gridCol w:w="1149"/>
        <w:gridCol w:w="4536"/>
        <w:gridCol w:w="1560"/>
        <w:gridCol w:w="1559"/>
      </w:tblGrid>
      <w:tr>
        <w:tblPrEx>
          <w:tblLayout w:type="fixed"/>
          <w:tblCellMar>
            <w:top w:w="0" w:type="dxa"/>
            <w:left w:w="108" w:type="dxa"/>
            <w:bottom w:w="0" w:type="dxa"/>
            <w:right w:w="108" w:type="dxa"/>
          </w:tblCellMar>
        </w:tblPrEx>
        <w:trPr>
          <w:trHeight w:val="680" w:hRule="atLeast"/>
          <w:tblHeader/>
        </w:trPr>
        <w:tc>
          <w:tcPr>
            <w:tcW w:w="1149"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序号</w:t>
            </w:r>
          </w:p>
        </w:tc>
        <w:tc>
          <w:tcPr>
            <w:tcW w:w="453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项目名称或主要设备</w:t>
            </w:r>
          </w:p>
        </w:tc>
        <w:tc>
          <w:tcPr>
            <w:tcW w:w="156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数量</w:t>
            </w:r>
          </w:p>
        </w:tc>
        <w:tc>
          <w:tcPr>
            <w:tcW w:w="1559" w:type="dxa"/>
            <w:tcBorders>
              <w:top w:val="single" w:color="auto" w:sz="8" w:space="0"/>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备注</w:t>
            </w:r>
          </w:p>
        </w:tc>
      </w:tr>
      <w:tr>
        <w:tblPrEx>
          <w:tblLayout w:type="fixed"/>
          <w:tblCellMar>
            <w:top w:w="0" w:type="dxa"/>
            <w:left w:w="108" w:type="dxa"/>
            <w:bottom w:w="0" w:type="dxa"/>
            <w:right w:w="108" w:type="dxa"/>
          </w:tblCellMar>
        </w:tblPrEx>
        <w:trPr>
          <w:trHeight w:val="680" w:hRule="atLeast"/>
          <w:tblHeader/>
        </w:trPr>
        <w:tc>
          <w:tcPr>
            <w:tcW w:w="114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1</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0"/>
              </w:rPr>
            </w:pPr>
            <w:r>
              <w:rPr>
                <w:rFonts w:hint="eastAsia" w:ascii="宋体" w:hAnsi="宋体" w:cs="宋体"/>
                <w:kern w:val="0"/>
                <w:sz w:val="24"/>
                <w:szCs w:val="20"/>
              </w:rPr>
              <w:t>供配电技术实训装置低压进线总柜  MNS</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0"/>
              </w:rPr>
            </w:pPr>
            <w:r>
              <w:rPr>
                <w:rFonts w:hint="eastAsia" w:ascii="宋体" w:hAnsi="宋体" w:cs="宋体"/>
                <w:kern w:val="0"/>
                <w:sz w:val="24"/>
                <w:szCs w:val="20"/>
              </w:rPr>
              <w:t>1</w:t>
            </w:r>
          </w:p>
        </w:tc>
        <w:tc>
          <w:tcPr>
            <w:tcW w:w="1559" w:type="dxa"/>
            <w:tcBorders>
              <w:top w:val="nil"/>
              <w:left w:val="nil"/>
              <w:bottom w:val="single" w:color="auto" w:sz="4" w:space="0"/>
              <w:right w:val="single" w:color="auto" w:sz="4" w:space="0"/>
            </w:tcBorders>
          </w:tcPr>
          <w:p>
            <w:pPr>
              <w:widowControl/>
              <w:jc w:val="center"/>
              <w:rPr>
                <w:rFonts w:ascii="宋体" w:hAnsi="宋体" w:cs="宋体"/>
                <w:kern w:val="0"/>
                <w:sz w:val="24"/>
                <w:szCs w:val="20"/>
              </w:rPr>
            </w:pPr>
          </w:p>
        </w:tc>
      </w:tr>
      <w:tr>
        <w:tblPrEx>
          <w:tblLayout w:type="fixed"/>
          <w:tblCellMar>
            <w:top w:w="0" w:type="dxa"/>
            <w:left w:w="108" w:type="dxa"/>
            <w:bottom w:w="0" w:type="dxa"/>
            <w:right w:w="108" w:type="dxa"/>
          </w:tblCellMar>
        </w:tblPrEx>
        <w:trPr>
          <w:trHeight w:val="680" w:hRule="atLeast"/>
          <w:tblHeader/>
        </w:trPr>
        <w:tc>
          <w:tcPr>
            <w:tcW w:w="114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2</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0"/>
              </w:rPr>
            </w:pPr>
            <w:r>
              <w:rPr>
                <w:rFonts w:hint="eastAsia" w:ascii="宋体" w:hAnsi="宋体" w:cs="宋体"/>
                <w:kern w:val="0"/>
                <w:sz w:val="24"/>
                <w:szCs w:val="20"/>
              </w:rPr>
              <w:t>供配电技术实训装置低压电容补偿柜 SDVS</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0"/>
              </w:rPr>
            </w:pPr>
            <w:r>
              <w:rPr>
                <w:rFonts w:hint="eastAsia" w:ascii="宋体" w:hAnsi="宋体" w:cs="宋体"/>
                <w:kern w:val="0"/>
                <w:sz w:val="24"/>
                <w:szCs w:val="20"/>
              </w:rPr>
              <w:t>1</w:t>
            </w:r>
          </w:p>
        </w:tc>
        <w:tc>
          <w:tcPr>
            <w:tcW w:w="1559" w:type="dxa"/>
            <w:tcBorders>
              <w:top w:val="nil"/>
              <w:left w:val="nil"/>
              <w:bottom w:val="single" w:color="auto" w:sz="4" w:space="0"/>
              <w:right w:val="single" w:color="auto" w:sz="4" w:space="0"/>
            </w:tcBorders>
          </w:tcPr>
          <w:p>
            <w:pPr>
              <w:widowControl/>
              <w:jc w:val="center"/>
              <w:rPr>
                <w:rFonts w:ascii="宋体" w:hAnsi="宋体" w:cs="宋体"/>
                <w:kern w:val="0"/>
                <w:sz w:val="24"/>
                <w:szCs w:val="20"/>
              </w:rPr>
            </w:pPr>
          </w:p>
        </w:tc>
      </w:tr>
      <w:tr>
        <w:tblPrEx>
          <w:tblLayout w:type="fixed"/>
          <w:tblCellMar>
            <w:top w:w="0" w:type="dxa"/>
            <w:left w:w="108" w:type="dxa"/>
            <w:bottom w:w="0" w:type="dxa"/>
            <w:right w:w="108" w:type="dxa"/>
          </w:tblCellMar>
        </w:tblPrEx>
        <w:trPr>
          <w:trHeight w:val="680" w:hRule="atLeast"/>
          <w:tblHeader/>
        </w:trPr>
        <w:tc>
          <w:tcPr>
            <w:tcW w:w="114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3</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0"/>
              </w:rPr>
            </w:pPr>
            <w:r>
              <w:rPr>
                <w:rFonts w:hint="eastAsia" w:ascii="宋体" w:hAnsi="宋体" w:cs="宋体"/>
                <w:kern w:val="0"/>
                <w:sz w:val="24"/>
                <w:szCs w:val="20"/>
              </w:rPr>
              <w:t>供配电技术实训装置低压馈线柜  MNS</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0"/>
              </w:rPr>
            </w:pPr>
            <w:r>
              <w:rPr>
                <w:rFonts w:hint="eastAsia" w:ascii="宋体" w:hAnsi="宋体" w:cs="宋体"/>
                <w:kern w:val="0"/>
                <w:sz w:val="24"/>
                <w:szCs w:val="20"/>
              </w:rPr>
              <w:t>1</w:t>
            </w:r>
          </w:p>
        </w:tc>
        <w:tc>
          <w:tcPr>
            <w:tcW w:w="1559" w:type="dxa"/>
            <w:tcBorders>
              <w:top w:val="nil"/>
              <w:left w:val="nil"/>
              <w:bottom w:val="single" w:color="auto" w:sz="4" w:space="0"/>
              <w:right w:val="single" w:color="auto" w:sz="4" w:space="0"/>
            </w:tcBorders>
          </w:tcPr>
          <w:p>
            <w:pPr>
              <w:widowControl/>
              <w:jc w:val="center"/>
              <w:rPr>
                <w:rFonts w:ascii="宋体" w:hAnsi="宋体" w:cs="宋体"/>
                <w:kern w:val="0"/>
                <w:sz w:val="24"/>
                <w:szCs w:val="20"/>
              </w:rPr>
            </w:pPr>
          </w:p>
        </w:tc>
      </w:tr>
      <w:tr>
        <w:tblPrEx>
          <w:tblLayout w:type="fixed"/>
          <w:tblCellMar>
            <w:top w:w="0" w:type="dxa"/>
            <w:left w:w="108" w:type="dxa"/>
            <w:bottom w:w="0" w:type="dxa"/>
            <w:right w:w="108" w:type="dxa"/>
          </w:tblCellMar>
        </w:tblPrEx>
        <w:trPr>
          <w:trHeight w:val="680" w:hRule="atLeast"/>
          <w:tblHeader/>
        </w:trPr>
        <w:tc>
          <w:tcPr>
            <w:tcW w:w="114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4</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0"/>
              </w:rPr>
            </w:pPr>
            <w:r>
              <w:rPr>
                <w:rFonts w:hint="eastAsia" w:ascii="宋体" w:hAnsi="宋体" w:cs="宋体"/>
                <w:kern w:val="0"/>
                <w:sz w:val="24"/>
                <w:szCs w:val="20"/>
              </w:rPr>
              <w:t>供配电技术实训装置低压次级馈线柜 MNS</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0"/>
              </w:rPr>
            </w:pPr>
            <w:r>
              <w:rPr>
                <w:rFonts w:hint="eastAsia" w:ascii="宋体" w:hAnsi="宋体" w:cs="宋体"/>
                <w:kern w:val="0"/>
                <w:sz w:val="24"/>
                <w:szCs w:val="20"/>
              </w:rPr>
              <w:t>1</w:t>
            </w:r>
          </w:p>
        </w:tc>
        <w:tc>
          <w:tcPr>
            <w:tcW w:w="1559" w:type="dxa"/>
            <w:tcBorders>
              <w:top w:val="nil"/>
              <w:left w:val="nil"/>
              <w:bottom w:val="single" w:color="auto" w:sz="4" w:space="0"/>
              <w:right w:val="single" w:color="auto" w:sz="4" w:space="0"/>
            </w:tcBorders>
          </w:tcPr>
          <w:p>
            <w:pPr>
              <w:widowControl/>
              <w:jc w:val="center"/>
              <w:rPr>
                <w:rFonts w:ascii="宋体" w:hAnsi="宋体" w:cs="宋体"/>
                <w:kern w:val="0"/>
                <w:sz w:val="24"/>
                <w:szCs w:val="20"/>
              </w:rPr>
            </w:pPr>
          </w:p>
        </w:tc>
      </w:tr>
      <w:tr>
        <w:tblPrEx>
          <w:tblLayout w:type="fixed"/>
          <w:tblCellMar>
            <w:top w:w="0" w:type="dxa"/>
            <w:left w:w="108" w:type="dxa"/>
            <w:bottom w:w="0" w:type="dxa"/>
            <w:right w:w="108" w:type="dxa"/>
          </w:tblCellMar>
        </w:tblPrEx>
        <w:trPr>
          <w:trHeight w:val="680" w:hRule="atLeast"/>
          <w:tblHeader/>
        </w:trPr>
        <w:tc>
          <w:tcPr>
            <w:tcW w:w="114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5</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0"/>
              </w:rPr>
            </w:pPr>
            <w:r>
              <w:rPr>
                <w:rFonts w:hint="eastAsia" w:ascii="宋体" w:hAnsi="宋体" w:cs="宋体"/>
                <w:kern w:val="0"/>
                <w:sz w:val="24"/>
                <w:szCs w:val="20"/>
              </w:rPr>
              <w:t>供配电技术实训装置后台监控系统</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0"/>
              </w:rPr>
            </w:pPr>
            <w:r>
              <w:rPr>
                <w:rFonts w:hint="eastAsia" w:ascii="宋体" w:hAnsi="宋体" w:cs="宋体"/>
                <w:kern w:val="0"/>
                <w:sz w:val="24"/>
                <w:szCs w:val="20"/>
              </w:rPr>
              <w:t>1</w:t>
            </w:r>
          </w:p>
        </w:tc>
        <w:tc>
          <w:tcPr>
            <w:tcW w:w="1559" w:type="dxa"/>
            <w:tcBorders>
              <w:top w:val="nil"/>
              <w:left w:val="nil"/>
              <w:bottom w:val="single" w:color="auto" w:sz="4" w:space="0"/>
              <w:right w:val="single" w:color="auto" w:sz="4" w:space="0"/>
            </w:tcBorders>
          </w:tcPr>
          <w:p>
            <w:pPr>
              <w:widowControl/>
              <w:jc w:val="center"/>
              <w:rPr>
                <w:rFonts w:ascii="宋体" w:hAnsi="宋体" w:cs="宋体"/>
                <w:kern w:val="0"/>
                <w:sz w:val="24"/>
                <w:szCs w:val="20"/>
              </w:rPr>
            </w:pPr>
          </w:p>
        </w:tc>
      </w:tr>
      <w:tr>
        <w:tblPrEx>
          <w:tblLayout w:type="fixed"/>
          <w:tblCellMar>
            <w:top w:w="0" w:type="dxa"/>
            <w:left w:w="108" w:type="dxa"/>
            <w:bottom w:w="0" w:type="dxa"/>
            <w:right w:w="108" w:type="dxa"/>
          </w:tblCellMar>
        </w:tblPrEx>
        <w:trPr>
          <w:trHeight w:val="680" w:hRule="atLeast"/>
          <w:tblHeader/>
        </w:trPr>
        <w:tc>
          <w:tcPr>
            <w:tcW w:w="114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6</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0"/>
              </w:rPr>
            </w:pPr>
            <w:r>
              <w:rPr>
                <w:rFonts w:hint="eastAsia" w:ascii="宋体" w:hAnsi="宋体" w:cs="宋体"/>
                <w:kern w:val="0"/>
                <w:sz w:val="24"/>
                <w:szCs w:val="20"/>
              </w:rPr>
              <w:t>电力电子技术实训装置</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0"/>
              </w:rPr>
            </w:pPr>
            <w:r>
              <w:rPr>
                <w:rFonts w:hint="eastAsia" w:ascii="宋体" w:hAnsi="宋体" w:cs="宋体"/>
                <w:kern w:val="0"/>
                <w:sz w:val="24"/>
                <w:szCs w:val="20"/>
              </w:rPr>
              <w:t>2</w:t>
            </w:r>
          </w:p>
        </w:tc>
        <w:tc>
          <w:tcPr>
            <w:tcW w:w="1559" w:type="dxa"/>
            <w:tcBorders>
              <w:top w:val="nil"/>
              <w:left w:val="nil"/>
              <w:bottom w:val="single" w:color="auto" w:sz="4" w:space="0"/>
              <w:right w:val="single" w:color="auto" w:sz="4" w:space="0"/>
            </w:tcBorders>
          </w:tcPr>
          <w:p>
            <w:pPr>
              <w:widowControl/>
              <w:jc w:val="center"/>
              <w:rPr>
                <w:rFonts w:ascii="宋体" w:hAnsi="宋体" w:cs="宋体"/>
                <w:kern w:val="0"/>
                <w:sz w:val="24"/>
                <w:szCs w:val="20"/>
              </w:rPr>
            </w:pPr>
          </w:p>
        </w:tc>
      </w:tr>
      <w:tr>
        <w:tblPrEx>
          <w:tblLayout w:type="fixed"/>
          <w:tblCellMar>
            <w:top w:w="0" w:type="dxa"/>
            <w:left w:w="108" w:type="dxa"/>
            <w:bottom w:w="0" w:type="dxa"/>
            <w:right w:w="108" w:type="dxa"/>
          </w:tblCellMar>
        </w:tblPrEx>
        <w:trPr>
          <w:trHeight w:val="680" w:hRule="atLeast"/>
          <w:tblHeader/>
        </w:trPr>
        <w:tc>
          <w:tcPr>
            <w:tcW w:w="114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7</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0"/>
              </w:rPr>
            </w:pPr>
            <w:r>
              <w:rPr>
                <w:rFonts w:hint="eastAsia" w:ascii="宋体" w:hAnsi="宋体" w:cs="宋体"/>
                <w:kern w:val="0"/>
                <w:sz w:val="24"/>
                <w:szCs w:val="20"/>
              </w:rPr>
              <w:t>直流稳压电源</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0"/>
              </w:rPr>
            </w:pPr>
            <w:r>
              <w:rPr>
                <w:rFonts w:hint="eastAsia" w:ascii="宋体" w:hAnsi="宋体" w:cs="宋体"/>
                <w:kern w:val="0"/>
                <w:sz w:val="24"/>
                <w:szCs w:val="20"/>
              </w:rPr>
              <w:t>2</w:t>
            </w:r>
          </w:p>
        </w:tc>
        <w:tc>
          <w:tcPr>
            <w:tcW w:w="1559" w:type="dxa"/>
            <w:tcBorders>
              <w:top w:val="nil"/>
              <w:left w:val="nil"/>
              <w:bottom w:val="single" w:color="auto" w:sz="4" w:space="0"/>
              <w:right w:val="single" w:color="auto" w:sz="4" w:space="0"/>
            </w:tcBorders>
          </w:tcPr>
          <w:p>
            <w:pPr>
              <w:widowControl/>
              <w:jc w:val="center"/>
              <w:rPr>
                <w:rFonts w:ascii="宋体" w:hAnsi="宋体" w:cs="宋体"/>
                <w:kern w:val="0"/>
                <w:sz w:val="24"/>
                <w:szCs w:val="20"/>
              </w:rPr>
            </w:pPr>
          </w:p>
        </w:tc>
      </w:tr>
      <w:tr>
        <w:tblPrEx>
          <w:tblLayout w:type="fixed"/>
          <w:tblCellMar>
            <w:top w:w="0" w:type="dxa"/>
            <w:left w:w="108" w:type="dxa"/>
            <w:bottom w:w="0" w:type="dxa"/>
            <w:right w:w="108" w:type="dxa"/>
          </w:tblCellMar>
        </w:tblPrEx>
        <w:trPr>
          <w:trHeight w:val="680" w:hRule="atLeast"/>
          <w:tblHeader/>
        </w:trPr>
        <w:tc>
          <w:tcPr>
            <w:tcW w:w="114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8</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0"/>
              </w:rPr>
            </w:pPr>
            <w:r>
              <w:rPr>
                <w:rFonts w:hint="eastAsia" w:ascii="宋体" w:hAnsi="宋体" w:cs="宋体"/>
                <w:kern w:val="0"/>
                <w:sz w:val="24"/>
                <w:szCs w:val="20"/>
              </w:rPr>
              <w:t>函数信号发生器</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0"/>
              </w:rPr>
            </w:pPr>
            <w:r>
              <w:rPr>
                <w:rFonts w:hint="eastAsia" w:ascii="宋体" w:hAnsi="宋体" w:cs="宋体"/>
                <w:kern w:val="0"/>
                <w:sz w:val="24"/>
                <w:szCs w:val="20"/>
              </w:rPr>
              <w:t>2</w:t>
            </w:r>
          </w:p>
        </w:tc>
        <w:tc>
          <w:tcPr>
            <w:tcW w:w="1559" w:type="dxa"/>
            <w:tcBorders>
              <w:top w:val="nil"/>
              <w:left w:val="nil"/>
              <w:bottom w:val="single" w:color="auto" w:sz="4" w:space="0"/>
              <w:right w:val="single" w:color="auto" w:sz="4" w:space="0"/>
            </w:tcBorders>
          </w:tcPr>
          <w:p>
            <w:pPr>
              <w:widowControl/>
              <w:jc w:val="center"/>
              <w:rPr>
                <w:rFonts w:ascii="宋体" w:hAnsi="宋体" w:cs="宋体"/>
                <w:kern w:val="0"/>
                <w:sz w:val="24"/>
                <w:szCs w:val="20"/>
              </w:rPr>
            </w:pPr>
          </w:p>
        </w:tc>
      </w:tr>
      <w:tr>
        <w:tblPrEx>
          <w:tblLayout w:type="fixed"/>
          <w:tblCellMar>
            <w:top w:w="0" w:type="dxa"/>
            <w:left w:w="108" w:type="dxa"/>
            <w:bottom w:w="0" w:type="dxa"/>
            <w:right w:w="108" w:type="dxa"/>
          </w:tblCellMar>
        </w:tblPrEx>
        <w:trPr>
          <w:trHeight w:val="680" w:hRule="atLeast"/>
          <w:tblHeader/>
        </w:trPr>
        <w:tc>
          <w:tcPr>
            <w:tcW w:w="1149"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9</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0"/>
              </w:rPr>
            </w:pPr>
            <w:r>
              <w:rPr>
                <w:rFonts w:hint="eastAsia" w:ascii="宋体" w:hAnsi="宋体" w:cs="宋体"/>
                <w:kern w:val="0"/>
                <w:sz w:val="24"/>
                <w:szCs w:val="20"/>
              </w:rPr>
              <w:t>示波器</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0"/>
              </w:rPr>
            </w:pPr>
            <w:r>
              <w:rPr>
                <w:rFonts w:hint="eastAsia" w:ascii="宋体" w:hAnsi="宋体" w:cs="宋体"/>
                <w:kern w:val="0"/>
                <w:sz w:val="24"/>
                <w:szCs w:val="20"/>
              </w:rPr>
              <w:t>2</w:t>
            </w:r>
          </w:p>
        </w:tc>
        <w:tc>
          <w:tcPr>
            <w:tcW w:w="1559" w:type="dxa"/>
            <w:tcBorders>
              <w:top w:val="nil"/>
              <w:left w:val="nil"/>
              <w:bottom w:val="single" w:color="auto" w:sz="4" w:space="0"/>
              <w:right w:val="single" w:color="auto" w:sz="4" w:space="0"/>
            </w:tcBorders>
          </w:tcPr>
          <w:p>
            <w:pPr>
              <w:widowControl/>
              <w:jc w:val="center"/>
              <w:rPr>
                <w:rFonts w:ascii="宋体" w:hAnsi="宋体" w:cs="宋体"/>
                <w:kern w:val="0"/>
                <w:sz w:val="24"/>
                <w:szCs w:val="20"/>
              </w:rPr>
            </w:pPr>
          </w:p>
        </w:tc>
      </w:tr>
    </w:tbl>
    <w:p>
      <w:pPr>
        <w:spacing w:line="360" w:lineRule="auto"/>
        <w:outlineLvl w:val="1"/>
        <w:rPr>
          <w:bCs/>
          <w:sz w:val="24"/>
          <w:szCs w:val="20"/>
        </w:rPr>
      </w:pPr>
    </w:p>
    <w:p>
      <w:pPr>
        <w:spacing w:line="360" w:lineRule="auto"/>
        <w:outlineLvl w:val="1"/>
        <w:rPr>
          <w:bCs/>
          <w:sz w:val="24"/>
          <w:szCs w:val="20"/>
        </w:rPr>
      </w:pPr>
      <w:r>
        <w:rPr>
          <w:rFonts w:hint="eastAsia"/>
          <w:bCs/>
          <w:sz w:val="24"/>
          <w:szCs w:val="20"/>
        </w:rPr>
        <w:t>（二）主要技术参数</w:t>
      </w:r>
    </w:p>
    <w:tbl>
      <w:tblPr>
        <w:tblStyle w:val="48"/>
        <w:tblW w:w="10080" w:type="dxa"/>
        <w:tblInd w:w="93" w:type="dxa"/>
        <w:tblLayout w:type="fixed"/>
        <w:tblCellMar>
          <w:top w:w="0" w:type="dxa"/>
          <w:left w:w="108" w:type="dxa"/>
          <w:bottom w:w="0" w:type="dxa"/>
          <w:right w:w="108" w:type="dxa"/>
        </w:tblCellMar>
      </w:tblPr>
      <w:tblGrid>
        <w:gridCol w:w="582"/>
        <w:gridCol w:w="1701"/>
        <w:gridCol w:w="6379"/>
        <w:gridCol w:w="709"/>
        <w:gridCol w:w="709"/>
      </w:tblGrid>
      <w:tr>
        <w:tblPrEx>
          <w:tblLayout w:type="fixed"/>
          <w:tblCellMar>
            <w:top w:w="0" w:type="dxa"/>
            <w:left w:w="108" w:type="dxa"/>
            <w:bottom w:w="0" w:type="dxa"/>
            <w:right w:w="108" w:type="dxa"/>
          </w:tblCellMar>
        </w:tblPrEx>
        <w:tc>
          <w:tcPr>
            <w:tcW w:w="582" w:type="dxa"/>
            <w:tcBorders>
              <w:top w:val="single" w:color="auto" w:sz="8" w:space="0"/>
              <w:left w:val="single" w:color="auto" w:sz="8" w:space="0"/>
              <w:bottom w:val="single" w:color="auto" w:sz="4" w:space="0"/>
              <w:right w:val="single" w:color="auto" w:sz="4" w:space="0"/>
            </w:tcBorders>
            <w:shd w:val="clear" w:color="auto" w:fill="auto"/>
            <w:vAlign w:val="center"/>
          </w:tcPr>
          <w:p>
            <w:pPr>
              <w:spacing w:after="120" w:afterLines="50"/>
              <w:ind w:left="-105" w:leftChars="-50" w:right="-105" w:rightChars="-50"/>
              <w:jc w:val="center"/>
              <w:rPr>
                <w:rFonts w:ascii="宋体" w:hAnsi="宋体"/>
                <w:sz w:val="24"/>
                <w:szCs w:val="20"/>
              </w:rPr>
            </w:pPr>
            <w:r>
              <w:rPr>
                <w:rFonts w:ascii="宋体" w:hAnsi="宋体"/>
                <w:sz w:val="24"/>
                <w:szCs w:val="20"/>
              </w:rPr>
              <w:br w:type="page"/>
            </w:r>
            <w:r>
              <w:rPr>
                <w:rFonts w:hint="eastAsia" w:ascii="宋体" w:hAnsi="宋体"/>
                <w:sz w:val="24"/>
                <w:szCs w:val="20"/>
              </w:rPr>
              <w:t>序号</w:t>
            </w:r>
          </w:p>
        </w:tc>
        <w:tc>
          <w:tcPr>
            <w:tcW w:w="1701" w:type="dxa"/>
            <w:tcBorders>
              <w:top w:val="single" w:color="auto" w:sz="8" w:space="0"/>
              <w:left w:val="nil"/>
              <w:bottom w:val="single" w:color="auto" w:sz="4" w:space="0"/>
              <w:right w:val="single" w:color="auto" w:sz="4" w:space="0"/>
            </w:tcBorders>
            <w:shd w:val="clear" w:color="auto" w:fill="auto"/>
            <w:vAlign w:val="center"/>
          </w:tcPr>
          <w:p>
            <w:pPr>
              <w:spacing w:before="120" w:beforeLines="50" w:after="120" w:afterLines="50"/>
              <w:rPr>
                <w:rFonts w:ascii="宋体" w:hAnsi="宋体"/>
                <w:sz w:val="24"/>
                <w:szCs w:val="20"/>
              </w:rPr>
            </w:pPr>
            <w:r>
              <w:rPr>
                <w:rFonts w:hint="eastAsia" w:ascii="宋体" w:hAnsi="宋体"/>
                <w:sz w:val="24"/>
                <w:szCs w:val="20"/>
              </w:rPr>
              <w:t>项目名称或主要设备名称</w:t>
            </w:r>
          </w:p>
        </w:tc>
        <w:tc>
          <w:tcPr>
            <w:tcW w:w="6379" w:type="dxa"/>
            <w:tcBorders>
              <w:top w:val="single" w:color="auto" w:sz="8" w:space="0"/>
              <w:left w:val="nil"/>
              <w:bottom w:val="single" w:color="auto" w:sz="4" w:space="0"/>
              <w:right w:val="single" w:color="auto" w:sz="4" w:space="0"/>
            </w:tcBorders>
            <w:shd w:val="clear" w:color="auto" w:fill="auto"/>
            <w:vAlign w:val="center"/>
          </w:tcPr>
          <w:p>
            <w:pPr>
              <w:spacing w:after="120" w:afterLines="50"/>
              <w:jc w:val="center"/>
              <w:rPr>
                <w:rFonts w:ascii="宋体" w:hAnsi="宋体"/>
                <w:sz w:val="24"/>
                <w:szCs w:val="20"/>
              </w:rPr>
            </w:pPr>
            <w:r>
              <w:rPr>
                <w:rFonts w:hint="eastAsia" w:ascii="宋体" w:hAnsi="宋体"/>
                <w:sz w:val="24"/>
                <w:szCs w:val="20"/>
              </w:rPr>
              <w:t>详细技术参数或规格</w:t>
            </w:r>
          </w:p>
        </w:tc>
        <w:tc>
          <w:tcPr>
            <w:tcW w:w="709" w:type="dxa"/>
            <w:tcBorders>
              <w:top w:val="single" w:color="auto" w:sz="4" w:space="0"/>
              <w:bottom w:val="single" w:color="auto" w:sz="4" w:space="0"/>
              <w:right w:val="single" w:color="auto" w:sz="4" w:space="0"/>
            </w:tcBorders>
            <w:shd w:val="clear" w:color="auto" w:fill="auto"/>
            <w:vAlign w:val="center"/>
          </w:tcPr>
          <w:p>
            <w:pPr>
              <w:spacing w:after="120" w:afterLines="50"/>
              <w:ind w:left="-105" w:leftChars="-50" w:right="-105" w:rightChars="-50"/>
              <w:jc w:val="center"/>
              <w:rPr>
                <w:rFonts w:ascii="宋体" w:hAnsi="宋体"/>
                <w:sz w:val="24"/>
                <w:szCs w:val="20"/>
              </w:rPr>
            </w:pPr>
            <w:r>
              <w:rPr>
                <w:rFonts w:hint="eastAsia" w:ascii="宋体" w:hAnsi="宋体"/>
                <w:sz w:val="24"/>
                <w:szCs w:val="20"/>
              </w:rPr>
              <w:t>数量</w:t>
            </w:r>
          </w:p>
        </w:tc>
        <w:tc>
          <w:tcPr>
            <w:tcW w:w="709" w:type="dxa"/>
            <w:tcBorders>
              <w:top w:val="single" w:color="auto" w:sz="4" w:space="0"/>
              <w:bottom w:val="single" w:color="auto" w:sz="4" w:space="0"/>
              <w:right w:val="single" w:color="auto" w:sz="4" w:space="0"/>
            </w:tcBorders>
            <w:shd w:val="clear" w:color="auto" w:fill="auto"/>
            <w:vAlign w:val="center"/>
          </w:tcPr>
          <w:p>
            <w:pPr>
              <w:spacing w:after="120" w:afterLines="50"/>
              <w:ind w:left="-105" w:leftChars="-50" w:right="-105" w:rightChars="-50"/>
              <w:jc w:val="center"/>
              <w:rPr>
                <w:rFonts w:ascii="宋体" w:hAnsi="宋体"/>
                <w:sz w:val="24"/>
                <w:szCs w:val="20"/>
              </w:rPr>
            </w:pPr>
            <w:r>
              <w:rPr>
                <w:rFonts w:hint="eastAsia" w:ascii="宋体" w:hAnsi="宋体"/>
                <w:sz w:val="24"/>
                <w:szCs w:val="20"/>
              </w:rPr>
              <w:t>单位</w:t>
            </w:r>
          </w:p>
        </w:tc>
      </w:tr>
      <w:tr>
        <w:tblPrEx>
          <w:tblLayout w:type="fixed"/>
          <w:tblCellMar>
            <w:top w:w="0" w:type="dxa"/>
            <w:left w:w="108" w:type="dxa"/>
            <w:bottom w:w="0" w:type="dxa"/>
            <w:right w:w="108" w:type="dxa"/>
          </w:tblCellMar>
        </w:tblPrEx>
        <w:tc>
          <w:tcPr>
            <w:tcW w:w="5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1</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供配电技术实训装置低压进线总柜  MNS</w:t>
            </w:r>
          </w:p>
        </w:tc>
        <w:tc>
          <w:tcPr>
            <w:tcW w:w="6379" w:type="dxa"/>
            <w:tcBorders>
              <w:top w:val="nil"/>
              <w:left w:val="nil"/>
              <w:bottom w:val="single" w:color="auto" w:sz="4" w:space="0"/>
              <w:right w:val="single" w:color="auto" w:sz="4" w:space="0"/>
            </w:tcBorders>
            <w:shd w:val="clear" w:color="auto" w:fill="auto"/>
          </w:tcPr>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柜体800*1000*2200    1台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★框架断路器</w:t>
            </w:r>
            <w:r>
              <w:rPr>
                <w:rFonts w:hint="eastAsia" w:ascii="宋体" w:hAnsi="宋体" w:cs="宋体"/>
                <w:kern w:val="0"/>
                <w:sz w:val="24"/>
                <w:szCs w:val="20"/>
              </w:rPr>
              <w:tab/>
            </w:r>
            <w:r>
              <w:rPr>
                <w:rFonts w:hint="eastAsia" w:ascii="宋体" w:hAnsi="宋体" w:cs="宋体"/>
                <w:kern w:val="0"/>
                <w:sz w:val="24"/>
                <w:szCs w:val="20"/>
              </w:rPr>
              <w:t>CW3-1000/3P-800A EA35/抽屉式 智能控制器 通信功能  1台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电流互感器BH-0.66 800/5A  6只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多功能表</w:t>
            </w:r>
            <w:r>
              <w:rPr>
                <w:rFonts w:hint="eastAsia" w:ascii="宋体" w:hAnsi="宋体" w:cs="宋体"/>
                <w:kern w:val="0"/>
                <w:sz w:val="24"/>
                <w:szCs w:val="20"/>
              </w:rPr>
              <w:tab/>
            </w:r>
            <w:r>
              <w:rPr>
                <w:rFonts w:hint="eastAsia" w:ascii="宋体" w:hAnsi="宋体" w:cs="宋体"/>
                <w:kern w:val="0"/>
                <w:sz w:val="24"/>
                <w:szCs w:val="20"/>
              </w:rPr>
              <w:t>PD1134E-9S4Y    1只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电压表</w:t>
            </w:r>
            <w:r>
              <w:rPr>
                <w:rFonts w:hint="eastAsia" w:ascii="宋体" w:hAnsi="宋体" w:cs="宋体"/>
                <w:kern w:val="0"/>
                <w:sz w:val="24"/>
                <w:szCs w:val="20"/>
              </w:rPr>
              <w:tab/>
            </w:r>
            <w:r>
              <w:rPr>
                <w:rFonts w:hint="eastAsia" w:ascii="宋体" w:hAnsi="宋体" w:cs="宋体"/>
                <w:kern w:val="0"/>
                <w:sz w:val="24"/>
                <w:szCs w:val="20"/>
              </w:rPr>
              <w:t>CM72-V,0-450V       1只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转换开关</w:t>
            </w:r>
            <w:r>
              <w:rPr>
                <w:rFonts w:hint="eastAsia" w:ascii="宋体" w:hAnsi="宋体" w:cs="宋体"/>
                <w:kern w:val="0"/>
                <w:sz w:val="24"/>
                <w:szCs w:val="20"/>
              </w:rPr>
              <w:tab/>
            </w:r>
            <w:r>
              <w:rPr>
                <w:rFonts w:hint="eastAsia" w:ascii="宋体" w:hAnsi="宋体" w:cs="宋体"/>
                <w:kern w:val="0"/>
                <w:sz w:val="24"/>
                <w:szCs w:val="20"/>
              </w:rPr>
              <w:t>LW5-15E-0491/2  1只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熔断器</w:t>
            </w:r>
            <w:r>
              <w:rPr>
                <w:rFonts w:hint="eastAsia" w:ascii="宋体" w:hAnsi="宋体" w:cs="宋体"/>
                <w:kern w:val="0"/>
                <w:sz w:val="24"/>
                <w:szCs w:val="20"/>
              </w:rPr>
              <w:tab/>
            </w:r>
            <w:r>
              <w:rPr>
                <w:rFonts w:hint="eastAsia" w:ascii="宋体" w:hAnsi="宋体" w:cs="宋体"/>
                <w:kern w:val="0"/>
                <w:sz w:val="24"/>
                <w:szCs w:val="20"/>
              </w:rPr>
              <w:t>NT1-160A            4只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电涌保护器</w:t>
            </w:r>
            <w:r>
              <w:rPr>
                <w:rFonts w:hint="eastAsia" w:ascii="宋体" w:hAnsi="宋体" w:cs="宋体"/>
                <w:kern w:val="0"/>
                <w:sz w:val="24"/>
                <w:szCs w:val="20"/>
              </w:rPr>
              <w:tab/>
            </w:r>
            <w:r>
              <w:rPr>
                <w:rFonts w:hint="eastAsia" w:ascii="宋体" w:hAnsi="宋体" w:cs="宋体"/>
                <w:kern w:val="0"/>
                <w:sz w:val="24"/>
                <w:szCs w:val="20"/>
              </w:rPr>
              <w:t>S1-3S-335        1套</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指示灯</w:t>
            </w:r>
            <w:r>
              <w:rPr>
                <w:rFonts w:hint="eastAsia" w:ascii="宋体" w:hAnsi="宋体" w:cs="宋体"/>
                <w:kern w:val="0"/>
                <w:sz w:val="24"/>
                <w:szCs w:val="20"/>
              </w:rPr>
              <w:tab/>
            </w:r>
            <w:r>
              <w:rPr>
                <w:rFonts w:hint="eastAsia" w:ascii="宋体" w:hAnsi="宋体" w:cs="宋体"/>
                <w:kern w:val="0"/>
                <w:sz w:val="24"/>
                <w:szCs w:val="20"/>
              </w:rPr>
              <w:t>AD11-25/41-220V     3只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按钮</w:t>
            </w:r>
            <w:r>
              <w:rPr>
                <w:rFonts w:hint="eastAsia" w:ascii="宋体" w:hAnsi="宋体" w:cs="宋体"/>
                <w:kern w:val="0"/>
                <w:sz w:val="24"/>
                <w:szCs w:val="20"/>
              </w:rPr>
              <w:tab/>
            </w:r>
            <w:r>
              <w:rPr>
                <w:rFonts w:hint="eastAsia" w:ascii="宋体" w:hAnsi="宋体" w:cs="宋体"/>
                <w:kern w:val="0"/>
                <w:sz w:val="24"/>
                <w:szCs w:val="20"/>
              </w:rPr>
              <w:t>LA18-22             2个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铜排</w:t>
            </w:r>
            <w:r>
              <w:rPr>
                <w:rFonts w:hint="eastAsia" w:ascii="宋体" w:hAnsi="宋体" w:cs="宋体"/>
                <w:kern w:val="0"/>
                <w:sz w:val="24"/>
                <w:szCs w:val="20"/>
              </w:rPr>
              <w:tab/>
            </w:r>
            <w:r>
              <w:rPr>
                <w:rFonts w:hint="eastAsia" w:ascii="宋体" w:hAnsi="宋体" w:cs="宋体"/>
                <w:kern w:val="0"/>
                <w:sz w:val="24"/>
                <w:szCs w:val="20"/>
              </w:rPr>
              <w:t>TMY-4*(60*8)        81 KG</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一、二次线、端子</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 xml:space="preserve">      1套</w:t>
            </w:r>
            <w:r>
              <w:rPr>
                <w:rFonts w:hint="eastAsia" w:ascii="宋体" w:hAnsi="宋体" w:cs="宋体"/>
                <w:kern w:val="0"/>
                <w:sz w:val="24"/>
                <w:szCs w:val="20"/>
              </w:rPr>
              <w:tab/>
            </w:r>
          </w:p>
          <w:p>
            <w:pPr>
              <w:widowControl/>
              <w:spacing w:before="72" w:beforeLines="30" w:after="120" w:afterLines="50"/>
              <w:ind w:right="105" w:rightChars="50"/>
              <w:rPr>
                <w:rFonts w:ascii="宋体" w:hAnsi="宋体" w:cs="宋体"/>
                <w:kern w:val="0"/>
                <w:sz w:val="24"/>
                <w:szCs w:val="20"/>
              </w:rPr>
            </w:pPr>
            <w:r>
              <w:rPr>
                <w:rFonts w:hint="eastAsia" w:ascii="宋体" w:hAnsi="宋体" w:cs="宋体"/>
                <w:kern w:val="0"/>
                <w:sz w:val="24"/>
                <w:szCs w:val="20"/>
              </w:rPr>
              <w:t>辅助材料</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1套</w:t>
            </w:r>
          </w:p>
        </w:tc>
        <w:tc>
          <w:tcPr>
            <w:tcW w:w="709" w:type="dxa"/>
            <w:tcBorders>
              <w:top w:val="single" w:color="auto" w:sz="4" w:space="0"/>
              <w:bottom w:val="single" w:color="auto" w:sz="4" w:space="0"/>
              <w:right w:val="single" w:color="auto" w:sz="4" w:space="0"/>
            </w:tcBorders>
            <w:shd w:val="clear" w:color="auto" w:fill="auto"/>
            <w:vAlign w:val="center"/>
          </w:tcPr>
          <w:p>
            <w:pPr>
              <w:widowControl/>
              <w:rPr>
                <w:kern w:val="0"/>
                <w:sz w:val="20"/>
                <w:szCs w:val="20"/>
              </w:rPr>
            </w:pPr>
            <w:r>
              <w:rPr>
                <w:rFonts w:hint="eastAsia" w:ascii="宋体" w:hAnsi="宋体" w:cs="宋体"/>
                <w:kern w:val="0"/>
                <w:sz w:val="24"/>
                <w:szCs w:val="20"/>
              </w:rPr>
              <w:t>1</w:t>
            </w:r>
          </w:p>
        </w:tc>
        <w:tc>
          <w:tcPr>
            <w:tcW w:w="709" w:type="dxa"/>
            <w:tcBorders>
              <w:top w:val="single" w:color="auto" w:sz="4" w:space="0"/>
              <w:bottom w:val="single" w:color="auto" w:sz="4" w:space="0"/>
              <w:right w:val="single" w:color="auto" w:sz="4" w:space="0"/>
            </w:tcBorders>
            <w:shd w:val="clear" w:color="auto" w:fill="auto"/>
            <w:vAlign w:val="center"/>
          </w:tcPr>
          <w:p>
            <w:pPr>
              <w:widowControl/>
              <w:rPr>
                <w:kern w:val="0"/>
                <w:sz w:val="24"/>
                <w:szCs w:val="20"/>
              </w:rPr>
            </w:pPr>
            <w:r>
              <w:rPr>
                <w:rFonts w:hint="eastAsia"/>
                <w:kern w:val="0"/>
                <w:sz w:val="24"/>
                <w:szCs w:val="20"/>
              </w:rPr>
              <w:t>个</w:t>
            </w:r>
          </w:p>
        </w:tc>
      </w:tr>
      <w:tr>
        <w:tblPrEx>
          <w:tblLayout w:type="fixed"/>
          <w:tblCellMar>
            <w:top w:w="0" w:type="dxa"/>
            <w:left w:w="108" w:type="dxa"/>
            <w:bottom w:w="0" w:type="dxa"/>
            <w:right w:w="108" w:type="dxa"/>
          </w:tblCellMar>
        </w:tblPrEx>
        <w:tc>
          <w:tcPr>
            <w:tcW w:w="5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2</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供配电技术实训装置低压电容补偿柜 SDVS</w:t>
            </w:r>
          </w:p>
        </w:tc>
        <w:tc>
          <w:tcPr>
            <w:tcW w:w="6379" w:type="dxa"/>
            <w:tcBorders>
              <w:top w:val="nil"/>
              <w:left w:val="nil"/>
              <w:bottom w:val="single" w:color="auto" w:sz="4" w:space="0"/>
              <w:right w:val="single" w:color="auto" w:sz="4" w:space="0"/>
            </w:tcBorders>
            <w:shd w:val="clear" w:color="auto" w:fill="auto"/>
          </w:tcPr>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柜体800*1000*2200  1台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★塑壳断路器</w:t>
            </w:r>
            <w:r>
              <w:rPr>
                <w:rFonts w:hint="eastAsia" w:ascii="宋体" w:hAnsi="宋体" w:cs="宋体"/>
                <w:kern w:val="0"/>
                <w:sz w:val="24"/>
                <w:szCs w:val="20"/>
              </w:rPr>
              <w:tab/>
            </w:r>
            <w:r>
              <w:rPr>
                <w:rFonts w:hint="eastAsia" w:ascii="宋体" w:hAnsi="宋体" w:cs="宋体"/>
                <w:kern w:val="0"/>
                <w:sz w:val="24"/>
                <w:szCs w:val="20"/>
              </w:rPr>
              <w:t>CM3-400L/3300 400A 插入式板前接线，电操通讯  1台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电流互感器</w:t>
            </w:r>
            <w:r>
              <w:rPr>
                <w:rFonts w:hint="eastAsia" w:ascii="宋体" w:hAnsi="宋体" w:cs="宋体"/>
                <w:kern w:val="0"/>
                <w:sz w:val="24"/>
                <w:szCs w:val="20"/>
              </w:rPr>
              <w:tab/>
            </w:r>
            <w:r>
              <w:rPr>
                <w:rFonts w:hint="eastAsia" w:ascii="宋体" w:hAnsi="宋体" w:cs="宋体"/>
                <w:kern w:val="0"/>
                <w:sz w:val="24"/>
                <w:szCs w:val="20"/>
              </w:rPr>
              <w:t xml:space="preserve">BH-0.66 300/5A   3只   </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多功能表</w:t>
            </w:r>
            <w:r>
              <w:rPr>
                <w:rFonts w:hint="eastAsia" w:ascii="宋体" w:hAnsi="宋体" w:cs="宋体"/>
                <w:kern w:val="0"/>
                <w:sz w:val="24"/>
                <w:szCs w:val="20"/>
              </w:rPr>
              <w:tab/>
            </w:r>
            <w:r>
              <w:rPr>
                <w:rFonts w:hint="eastAsia" w:ascii="宋体" w:hAnsi="宋体" w:cs="宋体"/>
                <w:kern w:val="0"/>
                <w:sz w:val="24"/>
                <w:szCs w:val="20"/>
              </w:rPr>
              <w:t>PD1134E-9S4Y     1台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避雷器</w:t>
            </w:r>
            <w:r>
              <w:rPr>
                <w:rFonts w:hint="eastAsia" w:ascii="宋体" w:hAnsi="宋体" w:cs="宋体"/>
                <w:kern w:val="0"/>
                <w:sz w:val="24"/>
                <w:szCs w:val="20"/>
              </w:rPr>
              <w:tab/>
            </w:r>
            <w:r>
              <w:rPr>
                <w:rFonts w:hint="eastAsia" w:ascii="宋体" w:hAnsi="宋体" w:cs="宋体"/>
                <w:kern w:val="0"/>
                <w:sz w:val="24"/>
                <w:szCs w:val="20"/>
              </w:rPr>
              <w:t>Y3W-0.28/1.3         3只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电容组件</w:t>
            </w:r>
            <w:r>
              <w:rPr>
                <w:rFonts w:hint="eastAsia" w:ascii="宋体" w:hAnsi="宋体" w:cs="宋体"/>
                <w:kern w:val="0"/>
                <w:sz w:val="24"/>
                <w:szCs w:val="20"/>
              </w:rPr>
              <w:tab/>
            </w:r>
            <w:r>
              <w:rPr>
                <w:rFonts w:hint="eastAsia" w:ascii="宋体" w:hAnsi="宋体" w:cs="宋体"/>
                <w:kern w:val="0"/>
                <w:sz w:val="24"/>
                <w:szCs w:val="20"/>
              </w:rPr>
              <w:t>120KVAR         1套</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铜排</w:t>
            </w:r>
            <w:r>
              <w:rPr>
                <w:rFonts w:hint="eastAsia" w:ascii="宋体" w:hAnsi="宋体" w:cs="宋体"/>
                <w:kern w:val="0"/>
                <w:sz w:val="24"/>
                <w:szCs w:val="20"/>
              </w:rPr>
              <w:tab/>
            </w:r>
            <w:r>
              <w:rPr>
                <w:rFonts w:hint="eastAsia" w:ascii="宋体" w:hAnsi="宋体" w:cs="宋体"/>
                <w:kern w:val="0"/>
                <w:sz w:val="24"/>
                <w:szCs w:val="20"/>
              </w:rPr>
              <w:t>TMY-4*(60*8)        35 KG</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一、二次线、端子</w:t>
            </w:r>
            <w:r>
              <w:rPr>
                <w:rFonts w:hint="eastAsia" w:ascii="宋体" w:hAnsi="宋体" w:cs="宋体"/>
                <w:kern w:val="0"/>
                <w:sz w:val="24"/>
                <w:szCs w:val="20"/>
              </w:rPr>
              <w:tab/>
            </w:r>
            <w:r>
              <w:rPr>
                <w:rFonts w:hint="eastAsia" w:ascii="宋体" w:hAnsi="宋体" w:cs="宋体"/>
                <w:kern w:val="0"/>
                <w:sz w:val="24"/>
                <w:szCs w:val="20"/>
              </w:rPr>
              <w:t>1套</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辅助材料</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1套</w:t>
            </w:r>
          </w:p>
        </w:tc>
        <w:tc>
          <w:tcPr>
            <w:tcW w:w="709" w:type="dxa"/>
            <w:tcBorders>
              <w:top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1</w:t>
            </w:r>
          </w:p>
        </w:tc>
        <w:tc>
          <w:tcPr>
            <w:tcW w:w="709" w:type="dxa"/>
            <w:tcBorders>
              <w:top w:val="single" w:color="auto" w:sz="4" w:space="0"/>
              <w:bottom w:val="single" w:color="auto" w:sz="4" w:space="0"/>
              <w:right w:val="single" w:color="auto" w:sz="4" w:space="0"/>
            </w:tcBorders>
            <w:shd w:val="clear" w:color="auto" w:fill="auto"/>
            <w:vAlign w:val="center"/>
          </w:tcPr>
          <w:p>
            <w:pPr>
              <w:widowControl/>
              <w:rPr>
                <w:kern w:val="0"/>
                <w:sz w:val="24"/>
                <w:szCs w:val="20"/>
              </w:rPr>
            </w:pPr>
            <w:r>
              <w:rPr>
                <w:rFonts w:hint="eastAsia"/>
                <w:kern w:val="0"/>
                <w:sz w:val="24"/>
                <w:szCs w:val="20"/>
              </w:rPr>
              <w:t>个</w:t>
            </w:r>
          </w:p>
        </w:tc>
      </w:tr>
      <w:tr>
        <w:tblPrEx>
          <w:tblLayout w:type="fixed"/>
          <w:tblCellMar>
            <w:top w:w="0" w:type="dxa"/>
            <w:left w:w="108" w:type="dxa"/>
            <w:bottom w:w="0" w:type="dxa"/>
            <w:right w:w="108" w:type="dxa"/>
          </w:tblCellMar>
        </w:tblPrEx>
        <w:tc>
          <w:tcPr>
            <w:tcW w:w="5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3</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供配电技术实训装置低压馈线柜  MNS</w:t>
            </w:r>
          </w:p>
        </w:tc>
        <w:tc>
          <w:tcPr>
            <w:tcW w:w="6379" w:type="dxa"/>
            <w:tcBorders>
              <w:top w:val="nil"/>
              <w:left w:val="nil"/>
              <w:bottom w:val="single" w:color="auto" w:sz="4" w:space="0"/>
              <w:right w:val="single" w:color="auto" w:sz="4" w:space="0"/>
            </w:tcBorders>
            <w:shd w:val="clear" w:color="auto" w:fill="auto"/>
          </w:tcPr>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柜体600*1000*2200        1台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★塑壳断路器</w:t>
            </w:r>
            <w:r>
              <w:rPr>
                <w:rFonts w:hint="eastAsia" w:ascii="宋体" w:hAnsi="宋体" w:cs="宋体"/>
                <w:kern w:val="0"/>
                <w:sz w:val="24"/>
                <w:szCs w:val="20"/>
              </w:rPr>
              <w:tab/>
            </w:r>
            <w:r>
              <w:rPr>
                <w:rFonts w:hint="eastAsia" w:ascii="宋体" w:hAnsi="宋体" w:cs="宋体"/>
                <w:kern w:val="0"/>
                <w:sz w:val="24"/>
                <w:szCs w:val="20"/>
              </w:rPr>
              <w:t xml:space="preserve">CM3-250L/3340 160A电操通讯  </w:t>
            </w:r>
            <w:r>
              <w:rPr>
                <w:rFonts w:hint="eastAsia" w:ascii="宋体" w:hAnsi="宋体" w:cs="宋体"/>
                <w:kern w:val="0"/>
                <w:sz w:val="24"/>
                <w:szCs w:val="20"/>
              </w:rPr>
              <w:tab/>
            </w:r>
            <w:r>
              <w:rPr>
                <w:rFonts w:hint="eastAsia" w:ascii="宋体" w:hAnsi="宋体" w:cs="宋体"/>
                <w:kern w:val="0"/>
                <w:sz w:val="24"/>
                <w:szCs w:val="20"/>
              </w:rPr>
              <w:t>4台</w:t>
            </w:r>
            <w:r>
              <w:rPr>
                <w:rFonts w:hint="eastAsia" w:ascii="宋体" w:hAnsi="宋体" w:cs="宋体"/>
                <w:kern w:val="0"/>
                <w:sz w:val="24"/>
                <w:szCs w:val="20"/>
              </w:rPr>
              <w:tab/>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★塑壳断路器</w:t>
            </w:r>
            <w:r>
              <w:rPr>
                <w:rFonts w:hint="eastAsia" w:ascii="宋体" w:hAnsi="宋体" w:cs="宋体"/>
                <w:kern w:val="0"/>
                <w:sz w:val="24"/>
                <w:szCs w:val="20"/>
              </w:rPr>
              <w:tab/>
            </w:r>
            <w:r>
              <w:rPr>
                <w:rFonts w:hint="eastAsia" w:ascii="宋体" w:hAnsi="宋体" w:cs="宋体"/>
                <w:kern w:val="0"/>
                <w:sz w:val="24"/>
                <w:szCs w:val="20"/>
              </w:rPr>
              <w:t xml:space="preserve">CM3-250L/3340 160A电操通讯   </w:t>
            </w:r>
            <w:r>
              <w:rPr>
                <w:rFonts w:hint="eastAsia" w:ascii="宋体" w:hAnsi="宋体" w:cs="宋体"/>
                <w:kern w:val="0"/>
                <w:sz w:val="24"/>
                <w:szCs w:val="20"/>
              </w:rPr>
              <w:tab/>
            </w:r>
            <w:r>
              <w:rPr>
                <w:rFonts w:hint="eastAsia" w:ascii="宋体" w:hAnsi="宋体" w:cs="宋体"/>
                <w:kern w:val="0"/>
                <w:sz w:val="24"/>
                <w:szCs w:val="20"/>
              </w:rPr>
              <w:t>2台</w:t>
            </w:r>
            <w:r>
              <w:rPr>
                <w:rFonts w:hint="eastAsia" w:ascii="宋体" w:hAnsi="宋体" w:cs="宋体"/>
                <w:kern w:val="0"/>
                <w:sz w:val="24"/>
                <w:szCs w:val="20"/>
              </w:rPr>
              <w:tab/>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★塑壳断路器</w:t>
            </w:r>
            <w:r>
              <w:rPr>
                <w:rFonts w:hint="eastAsia" w:ascii="宋体" w:hAnsi="宋体" w:cs="宋体"/>
                <w:kern w:val="0"/>
                <w:sz w:val="24"/>
                <w:szCs w:val="20"/>
              </w:rPr>
              <w:tab/>
            </w:r>
            <w:r>
              <w:rPr>
                <w:rFonts w:hint="eastAsia" w:ascii="宋体" w:hAnsi="宋体" w:cs="宋体"/>
                <w:kern w:val="0"/>
                <w:sz w:val="24"/>
                <w:szCs w:val="20"/>
              </w:rPr>
              <w:t>CM3-250L/3340 250A电操通讯</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3台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电流互感器</w:t>
            </w:r>
            <w:r>
              <w:rPr>
                <w:rFonts w:hint="eastAsia" w:ascii="宋体" w:hAnsi="宋体" w:cs="宋体"/>
                <w:kern w:val="0"/>
                <w:sz w:val="24"/>
                <w:szCs w:val="20"/>
              </w:rPr>
              <w:tab/>
            </w:r>
            <w:r>
              <w:rPr>
                <w:rFonts w:hint="eastAsia" w:ascii="宋体" w:hAnsi="宋体" w:cs="宋体"/>
                <w:kern w:val="0"/>
                <w:sz w:val="24"/>
                <w:szCs w:val="20"/>
              </w:rPr>
              <w:t>BH-0.66 100/5A</w:t>
            </w:r>
            <w:r>
              <w:rPr>
                <w:rFonts w:hint="eastAsia" w:ascii="宋体" w:hAnsi="宋体" w:cs="宋体"/>
                <w:kern w:val="0"/>
                <w:sz w:val="24"/>
                <w:szCs w:val="20"/>
              </w:rPr>
              <w:tab/>
            </w:r>
            <w:r>
              <w:rPr>
                <w:rFonts w:hint="eastAsia" w:ascii="宋体" w:hAnsi="宋体" w:cs="宋体"/>
                <w:kern w:val="0"/>
                <w:sz w:val="24"/>
                <w:szCs w:val="20"/>
              </w:rPr>
              <w:t xml:space="preserve">    6只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电流互感器</w:t>
            </w:r>
            <w:r>
              <w:rPr>
                <w:rFonts w:hint="eastAsia" w:ascii="宋体" w:hAnsi="宋体" w:cs="宋体"/>
                <w:kern w:val="0"/>
                <w:sz w:val="24"/>
                <w:szCs w:val="20"/>
              </w:rPr>
              <w:tab/>
            </w:r>
            <w:r>
              <w:rPr>
                <w:rFonts w:hint="eastAsia" w:ascii="宋体" w:hAnsi="宋体" w:cs="宋体"/>
                <w:kern w:val="0"/>
                <w:sz w:val="24"/>
                <w:szCs w:val="20"/>
              </w:rPr>
              <w:t>BH-0.66 150/5A</w:t>
            </w:r>
            <w:r>
              <w:rPr>
                <w:rFonts w:hint="eastAsia" w:ascii="宋体" w:hAnsi="宋体" w:cs="宋体"/>
                <w:kern w:val="0"/>
                <w:sz w:val="24"/>
                <w:szCs w:val="20"/>
              </w:rPr>
              <w:tab/>
            </w:r>
            <w:r>
              <w:rPr>
                <w:rFonts w:hint="eastAsia" w:ascii="宋体" w:hAnsi="宋体" w:cs="宋体"/>
                <w:kern w:val="0"/>
                <w:sz w:val="24"/>
                <w:szCs w:val="20"/>
              </w:rPr>
              <w:t xml:space="preserve">    12只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电流互感器</w:t>
            </w:r>
            <w:r>
              <w:rPr>
                <w:rFonts w:hint="eastAsia" w:ascii="宋体" w:hAnsi="宋体" w:cs="宋体"/>
                <w:kern w:val="0"/>
                <w:sz w:val="24"/>
                <w:szCs w:val="20"/>
              </w:rPr>
              <w:tab/>
            </w:r>
            <w:r>
              <w:rPr>
                <w:rFonts w:hint="eastAsia" w:ascii="宋体" w:hAnsi="宋体" w:cs="宋体"/>
                <w:kern w:val="0"/>
                <w:sz w:val="24"/>
                <w:szCs w:val="20"/>
              </w:rPr>
              <w:t>BH-0.66 200/5A</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9只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多功能表</w:t>
            </w:r>
            <w:r>
              <w:rPr>
                <w:rFonts w:hint="eastAsia" w:ascii="宋体" w:hAnsi="宋体" w:cs="宋体"/>
                <w:kern w:val="0"/>
                <w:sz w:val="24"/>
                <w:szCs w:val="20"/>
              </w:rPr>
              <w:tab/>
            </w:r>
            <w:r>
              <w:rPr>
                <w:rFonts w:hint="eastAsia" w:ascii="宋体" w:hAnsi="宋体" w:cs="宋体"/>
                <w:kern w:val="0"/>
                <w:sz w:val="24"/>
                <w:szCs w:val="20"/>
              </w:rPr>
              <w:t xml:space="preserve">PD1134E-9S4Y  </w:t>
            </w:r>
            <w:r>
              <w:rPr>
                <w:rFonts w:hint="eastAsia" w:ascii="宋体" w:hAnsi="宋体" w:cs="宋体"/>
                <w:kern w:val="0"/>
                <w:sz w:val="24"/>
                <w:szCs w:val="20"/>
              </w:rPr>
              <w:tab/>
            </w:r>
            <w:r>
              <w:rPr>
                <w:rFonts w:hint="eastAsia" w:ascii="宋体" w:hAnsi="宋体" w:cs="宋体"/>
                <w:kern w:val="0"/>
                <w:sz w:val="24"/>
                <w:szCs w:val="20"/>
              </w:rPr>
              <w:t xml:space="preserve">    9台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指示灯</w:t>
            </w:r>
            <w:r>
              <w:rPr>
                <w:rFonts w:hint="eastAsia" w:ascii="宋体" w:hAnsi="宋体" w:cs="宋体"/>
                <w:kern w:val="0"/>
                <w:sz w:val="24"/>
                <w:szCs w:val="20"/>
              </w:rPr>
              <w:tab/>
            </w:r>
            <w:r>
              <w:rPr>
                <w:rFonts w:hint="eastAsia" w:ascii="宋体" w:hAnsi="宋体" w:cs="宋体"/>
                <w:kern w:val="0"/>
                <w:sz w:val="24"/>
                <w:szCs w:val="20"/>
              </w:rPr>
              <w:t>AD11-25/41-220V</w:t>
            </w:r>
            <w:r>
              <w:rPr>
                <w:rFonts w:hint="eastAsia" w:ascii="宋体" w:hAnsi="宋体" w:cs="宋体"/>
                <w:kern w:val="0"/>
                <w:sz w:val="24"/>
                <w:szCs w:val="20"/>
              </w:rPr>
              <w:tab/>
            </w:r>
            <w:r>
              <w:rPr>
                <w:rFonts w:hint="eastAsia" w:ascii="宋体" w:hAnsi="宋体" w:cs="宋体"/>
                <w:kern w:val="0"/>
                <w:sz w:val="24"/>
                <w:szCs w:val="20"/>
              </w:rPr>
              <w:t xml:space="preserve">    18只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按钮</w:t>
            </w:r>
            <w:r>
              <w:rPr>
                <w:rFonts w:hint="eastAsia" w:ascii="宋体" w:hAnsi="宋体" w:cs="宋体"/>
                <w:kern w:val="0"/>
                <w:sz w:val="24"/>
                <w:szCs w:val="20"/>
              </w:rPr>
              <w:tab/>
            </w:r>
            <w:r>
              <w:rPr>
                <w:rFonts w:hint="eastAsia" w:ascii="宋体" w:hAnsi="宋体" w:cs="宋体"/>
                <w:kern w:val="0"/>
                <w:sz w:val="24"/>
                <w:szCs w:val="20"/>
              </w:rPr>
              <w:t>LA18-22</w:t>
            </w:r>
            <w:r>
              <w:rPr>
                <w:rFonts w:hint="eastAsia" w:ascii="宋体" w:hAnsi="宋体" w:cs="宋体"/>
                <w:kern w:val="0"/>
                <w:sz w:val="24"/>
                <w:szCs w:val="20"/>
              </w:rPr>
              <w:tab/>
            </w:r>
            <w:r>
              <w:rPr>
                <w:rFonts w:hint="eastAsia" w:ascii="宋体" w:hAnsi="宋体" w:cs="宋体"/>
                <w:kern w:val="0"/>
                <w:sz w:val="24"/>
                <w:szCs w:val="20"/>
              </w:rPr>
              <w:t xml:space="preserve">               9只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铜排</w:t>
            </w:r>
            <w:r>
              <w:rPr>
                <w:rFonts w:hint="eastAsia" w:ascii="宋体" w:hAnsi="宋体" w:cs="宋体"/>
                <w:kern w:val="0"/>
                <w:sz w:val="24"/>
                <w:szCs w:val="20"/>
              </w:rPr>
              <w:tab/>
            </w:r>
            <w:r>
              <w:rPr>
                <w:rFonts w:hint="eastAsia" w:ascii="宋体" w:hAnsi="宋体" w:cs="宋体"/>
                <w:kern w:val="0"/>
                <w:sz w:val="24"/>
                <w:szCs w:val="20"/>
              </w:rPr>
              <w:t>TMY-4*(60*8)</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 xml:space="preserve">    28KG</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一、二次线、端子</w:t>
            </w:r>
            <w:r>
              <w:rPr>
                <w:rFonts w:hint="eastAsia" w:ascii="宋体" w:hAnsi="宋体" w:cs="宋体"/>
                <w:kern w:val="0"/>
                <w:sz w:val="24"/>
                <w:szCs w:val="20"/>
              </w:rPr>
              <w:tab/>
            </w:r>
            <w:r>
              <w:rPr>
                <w:rFonts w:hint="eastAsia" w:ascii="宋体" w:hAnsi="宋体" w:cs="宋体"/>
                <w:kern w:val="0"/>
                <w:sz w:val="24"/>
                <w:szCs w:val="20"/>
              </w:rPr>
              <w:t>1套</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辅助材料</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1套</w:t>
            </w:r>
          </w:p>
        </w:tc>
        <w:tc>
          <w:tcPr>
            <w:tcW w:w="709" w:type="dxa"/>
            <w:tcBorders>
              <w:top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1</w:t>
            </w:r>
          </w:p>
        </w:tc>
        <w:tc>
          <w:tcPr>
            <w:tcW w:w="709" w:type="dxa"/>
            <w:tcBorders>
              <w:top w:val="single" w:color="auto" w:sz="4" w:space="0"/>
              <w:bottom w:val="single" w:color="auto" w:sz="4" w:space="0"/>
              <w:right w:val="single" w:color="auto" w:sz="4" w:space="0"/>
            </w:tcBorders>
            <w:shd w:val="clear" w:color="auto" w:fill="auto"/>
            <w:vAlign w:val="center"/>
          </w:tcPr>
          <w:p>
            <w:pPr>
              <w:widowControl/>
              <w:rPr>
                <w:kern w:val="0"/>
                <w:sz w:val="24"/>
                <w:szCs w:val="20"/>
              </w:rPr>
            </w:pPr>
            <w:r>
              <w:rPr>
                <w:rFonts w:hint="eastAsia"/>
                <w:kern w:val="0"/>
                <w:sz w:val="24"/>
                <w:szCs w:val="20"/>
              </w:rPr>
              <w:t>个</w:t>
            </w:r>
          </w:p>
        </w:tc>
      </w:tr>
      <w:tr>
        <w:tblPrEx>
          <w:tblLayout w:type="fixed"/>
          <w:tblCellMar>
            <w:top w:w="0" w:type="dxa"/>
            <w:left w:w="108" w:type="dxa"/>
            <w:bottom w:w="0" w:type="dxa"/>
            <w:right w:w="108" w:type="dxa"/>
          </w:tblCellMar>
        </w:tblPrEx>
        <w:tc>
          <w:tcPr>
            <w:tcW w:w="5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4</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供配电技术实训装置低压次级馈线柜 MNS</w:t>
            </w:r>
          </w:p>
        </w:tc>
        <w:tc>
          <w:tcPr>
            <w:tcW w:w="6379" w:type="dxa"/>
            <w:tcBorders>
              <w:top w:val="nil"/>
              <w:left w:val="nil"/>
              <w:bottom w:val="single" w:color="auto" w:sz="4" w:space="0"/>
              <w:right w:val="single" w:color="auto" w:sz="4" w:space="0"/>
            </w:tcBorders>
            <w:shd w:val="clear" w:color="auto" w:fill="auto"/>
          </w:tcPr>
          <w:p>
            <w:pPr>
              <w:widowControl/>
              <w:spacing w:before="120" w:beforeLines="50" w:after="72" w:afterLines="30"/>
              <w:rPr>
                <w:rFonts w:ascii="宋体" w:hAnsi="宋体" w:cs="宋体"/>
                <w:kern w:val="0"/>
                <w:sz w:val="24"/>
                <w:szCs w:val="20"/>
              </w:rPr>
            </w:pPr>
            <w:r>
              <w:rPr>
                <w:rFonts w:hint="eastAsia" w:ascii="宋体" w:hAnsi="宋体" w:cs="宋体"/>
                <w:kern w:val="0"/>
                <w:sz w:val="24"/>
                <w:szCs w:val="20"/>
              </w:rPr>
              <w:t>柜体</w:t>
            </w:r>
            <w:r>
              <w:rPr>
                <w:rFonts w:hint="eastAsia" w:ascii="宋体" w:hAnsi="宋体" w:cs="宋体"/>
                <w:kern w:val="0"/>
                <w:sz w:val="24"/>
                <w:szCs w:val="20"/>
              </w:rPr>
              <w:tab/>
            </w:r>
            <w:r>
              <w:rPr>
                <w:rFonts w:hint="eastAsia" w:ascii="宋体" w:hAnsi="宋体" w:cs="宋体"/>
                <w:kern w:val="0"/>
                <w:sz w:val="24"/>
                <w:szCs w:val="20"/>
              </w:rPr>
              <w:t>600*1000*2200</w:t>
            </w:r>
            <w:r>
              <w:rPr>
                <w:rFonts w:hint="eastAsia" w:ascii="宋体" w:hAnsi="宋体" w:cs="宋体"/>
                <w:kern w:val="0"/>
                <w:sz w:val="24"/>
                <w:szCs w:val="20"/>
              </w:rPr>
              <w:tab/>
            </w:r>
            <w:r>
              <w:rPr>
                <w:rFonts w:hint="eastAsia" w:ascii="宋体" w:hAnsi="宋体" w:cs="宋体"/>
                <w:kern w:val="0"/>
                <w:sz w:val="24"/>
                <w:szCs w:val="20"/>
              </w:rPr>
              <w:t xml:space="preserve">                  1台</w:t>
            </w:r>
            <w:r>
              <w:rPr>
                <w:rFonts w:hint="eastAsia" w:ascii="宋体" w:hAnsi="宋体" w:cs="宋体"/>
                <w:kern w:val="0"/>
                <w:sz w:val="24"/>
                <w:szCs w:val="20"/>
              </w:rPr>
              <w:tab/>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★塑壳断路器</w:t>
            </w:r>
            <w:r>
              <w:rPr>
                <w:rFonts w:hint="eastAsia" w:ascii="宋体" w:hAnsi="宋体" w:cs="宋体"/>
                <w:kern w:val="0"/>
                <w:sz w:val="24"/>
                <w:szCs w:val="20"/>
              </w:rPr>
              <w:tab/>
            </w:r>
            <w:r>
              <w:rPr>
                <w:rFonts w:hint="eastAsia" w:ascii="宋体" w:hAnsi="宋体" w:cs="宋体"/>
                <w:kern w:val="0"/>
                <w:sz w:val="24"/>
                <w:szCs w:val="20"/>
              </w:rPr>
              <w:t>CM3-400L/3340 400A电操通讯</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4台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★塑壳断路器</w:t>
            </w:r>
            <w:r>
              <w:rPr>
                <w:rFonts w:hint="eastAsia" w:ascii="宋体" w:hAnsi="宋体" w:cs="宋体"/>
                <w:kern w:val="0"/>
                <w:sz w:val="24"/>
                <w:szCs w:val="20"/>
              </w:rPr>
              <w:tab/>
            </w:r>
            <w:r>
              <w:rPr>
                <w:rFonts w:hint="eastAsia" w:ascii="宋体" w:hAnsi="宋体" w:cs="宋体"/>
                <w:kern w:val="0"/>
                <w:sz w:val="24"/>
                <w:szCs w:val="20"/>
              </w:rPr>
              <w:t>CM3-250L/3340 250A电操通讯</w:t>
            </w:r>
            <w:r>
              <w:rPr>
                <w:rFonts w:hint="eastAsia" w:ascii="宋体" w:hAnsi="宋体" w:cs="宋体"/>
                <w:kern w:val="0"/>
                <w:sz w:val="24"/>
                <w:szCs w:val="20"/>
              </w:rPr>
              <w:tab/>
            </w:r>
            <w:r>
              <w:rPr>
                <w:rFonts w:hint="eastAsia" w:ascii="宋体" w:hAnsi="宋体" w:cs="宋体"/>
                <w:kern w:val="0"/>
                <w:sz w:val="24"/>
                <w:szCs w:val="20"/>
              </w:rPr>
              <w:t>1台</w:t>
            </w:r>
            <w:r>
              <w:rPr>
                <w:rFonts w:hint="eastAsia" w:ascii="宋体" w:hAnsi="宋体" w:cs="宋体"/>
                <w:kern w:val="0"/>
                <w:sz w:val="24"/>
                <w:szCs w:val="20"/>
              </w:rPr>
              <w:tab/>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电流互感器</w:t>
            </w:r>
            <w:r>
              <w:rPr>
                <w:rFonts w:hint="eastAsia" w:ascii="宋体" w:hAnsi="宋体" w:cs="宋体"/>
                <w:kern w:val="0"/>
                <w:sz w:val="24"/>
                <w:szCs w:val="20"/>
              </w:rPr>
              <w:tab/>
            </w:r>
            <w:r>
              <w:rPr>
                <w:rFonts w:hint="eastAsia" w:ascii="宋体" w:hAnsi="宋体" w:cs="宋体"/>
                <w:kern w:val="0"/>
                <w:sz w:val="24"/>
                <w:szCs w:val="20"/>
              </w:rPr>
              <w:t>BH-0.66 200/5A</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3只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电流互感器</w:t>
            </w:r>
            <w:r>
              <w:rPr>
                <w:rFonts w:hint="eastAsia" w:ascii="宋体" w:hAnsi="宋体" w:cs="宋体"/>
                <w:kern w:val="0"/>
                <w:sz w:val="24"/>
                <w:szCs w:val="20"/>
              </w:rPr>
              <w:tab/>
            </w:r>
            <w:r>
              <w:rPr>
                <w:rFonts w:hint="eastAsia" w:ascii="宋体" w:hAnsi="宋体" w:cs="宋体"/>
                <w:kern w:val="0"/>
                <w:sz w:val="24"/>
                <w:szCs w:val="20"/>
              </w:rPr>
              <w:t>BH-0.66 300/5A</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12只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多功能表</w:t>
            </w:r>
            <w:r>
              <w:rPr>
                <w:rFonts w:hint="eastAsia" w:ascii="宋体" w:hAnsi="宋体" w:cs="宋体"/>
                <w:kern w:val="0"/>
                <w:sz w:val="24"/>
                <w:szCs w:val="20"/>
              </w:rPr>
              <w:tab/>
            </w:r>
            <w:r>
              <w:rPr>
                <w:rFonts w:hint="eastAsia" w:ascii="宋体" w:hAnsi="宋体" w:cs="宋体"/>
                <w:kern w:val="0"/>
                <w:sz w:val="24"/>
                <w:szCs w:val="20"/>
              </w:rPr>
              <w:t>PD1134E-9S4Y</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 xml:space="preserve">   5台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指示灯</w:t>
            </w:r>
            <w:r>
              <w:rPr>
                <w:rFonts w:hint="eastAsia" w:ascii="宋体" w:hAnsi="宋体" w:cs="宋体"/>
                <w:kern w:val="0"/>
                <w:sz w:val="24"/>
                <w:szCs w:val="20"/>
              </w:rPr>
              <w:tab/>
            </w:r>
            <w:r>
              <w:rPr>
                <w:rFonts w:hint="eastAsia" w:ascii="宋体" w:hAnsi="宋体" w:cs="宋体"/>
                <w:kern w:val="0"/>
                <w:sz w:val="24"/>
                <w:szCs w:val="20"/>
              </w:rPr>
              <w:t>AD11-25/41-220V</w:t>
            </w:r>
            <w:r>
              <w:rPr>
                <w:rFonts w:hint="eastAsia" w:ascii="宋体" w:hAnsi="宋体" w:cs="宋体"/>
                <w:kern w:val="0"/>
                <w:sz w:val="24"/>
                <w:szCs w:val="20"/>
              </w:rPr>
              <w:tab/>
            </w:r>
            <w:r>
              <w:rPr>
                <w:rFonts w:hint="eastAsia" w:ascii="宋体" w:hAnsi="宋体" w:cs="宋体"/>
                <w:kern w:val="0"/>
                <w:sz w:val="24"/>
                <w:szCs w:val="20"/>
              </w:rPr>
              <w:t xml:space="preserve">      10只</w:t>
            </w:r>
            <w:r>
              <w:rPr>
                <w:rFonts w:hint="eastAsia" w:ascii="宋体" w:hAnsi="宋体" w:cs="宋体"/>
                <w:kern w:val="0"/>
                <w:sz w:val="24"/>
                <w:szCs w:val="20"/>
              </w:rPr>
              <w:tab/>
            </w:r>
          </w:p>
          <w:p>
            <w:pPr>
              <w:widowControl/>
              <w:spacing w:before="72" w:beforeLines="30" w:after="120" w:afterLines="50"/>
              <w:rPr>
                <w:rFonts w:ascii="宋体" w:hAnsi="宋体" w:cs="宋体"/>
                <w:kern w:val="0"/>
                <w:sz w:val="24"/>
                <w:szCs w:val="20"/>
              </w:rPr>
            </w:pPr>
            <w:r>
              <w:rPr>
                <w:rFonts w:hint="eastAsia" w:ascii="宋体" w:hAnsi="宋体" w:cs="宋体"/>
                <w:kern w:val="0"/>
                <w:sz w:val="24"/>
                <w:szCs w:val="20"/>
              </w:rPr>
              <w:t>按钮</w:t>
            </w:r>
            <w:r>
              <w:rPr>
                <w:rFonts w:hint="eastAsia" w:ascii="宋体" w:hAnsi="宋体" w:cs="宋体"/>
                <w:kern w:val="0"/>
                <w:sz w:val="24"/>
                <w:szCs w:val="20"/>
              </w:rPr>
              <w:tab/>
            </w:r>
            <w:r>
              <w:rPr>
                <w:rFonts w:hint="eastAsia" w:ascii="宋体" w:hAnsi="宋体" w:cs="宋体"/>
                <w:kern w:val="0"/>
                <w:sz w:val="24"/>
                <w:szCs w:val="20"/>
              </w:rPr>
              <w:t>LA18-22</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 xml:space="preserve">          5只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铜排</w:t>
            </w:r>
            <w:r>
              <w:rPr>
                <w:rFonts w:hint="eastAsia" w:ascii="宋体" w:hAnsi="宋体" w:cs="宋体"/>
                <w:kern w:val="0"/>
                <w:sz w:val="24"/>
                <w:szCs w:val="20"/>
              </w:rPr>
              <w:tab/>
            </w:r>
            <w:r>
              <w:rPr>
                <w:rFonts w:hint="eastAsia" w:ascii="宋体" w:hAnsi="宋体" w:cs="宋体"/>
                <w:kern w:val="0"/>
                <w:sz w:val="24"/>
                <w:szCs w:val="20"/>
              </w:rPr>
              <w:t>TMY-4*(60*8)</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 xml:space="preserve">     44 KG</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一、二次线、端子</w:t>
            </w:r>
            <w:r>
              <w:rPr>
                <w:rFonts w:hint="eastAsia" w:ascii="宋体" w:hAnsi="宋体" w:cs="宋体"/>
                <w:kern w:val="0"/>
                <w:sz w:val="24"/>
                <w:szCs w:val="20"/>
              </w:rPr>
              <w:tab/>
            </w:r>
            <w:r>
              <w:rPr>
                <w:rFonts w:hint="eastAsia" w:ascii="宋体" w:hAnsi="宋体" w:cs="宋体"/>
                <w:kern w:val="0"/>
                <w:sz w:val="24"/>
                <w:szCs w:val="20"/>
              </w:rPr>
              <w:t xml:space="preserve">            1套</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辅助材料</w:t>
            </w:r>
            <w:r>
              <w:rPr>
                <w:rFonts w:hint="eastAsia" w:ascii="宋体" w:hAnsi="宋体" w:cs="宋体"/>
                <w:kern w:val="0"/>
                <w:sz w:val="24"/>
                <w:szCs w:val="20"/>
              </w:rPr>
              <w:tab/>
            </w:r>
            <w:r>
              <w:rPr>
                <w:rFonts w:hint="eastAsia" w:ascii="宋体" w:hAnsi="宋体" w:cs="宋体"/>
                <w:kern w:val="0"/>
                <w:sz w:val="24"/>
                <w:szCs w:val="20"/>
              </w:rPr>
              <w:tab/>
            </w:r>
            <w:r>
              <w:rPr>
                <w:rFonts w:hint="eastAsia" w:ascii="宋体" w:hAnsi="宋体" w:cs="宋体"/>
                <w:kern w:val="0"/>
                <w:sz w:val="24"/>
                <w:szCs w:val="20"/>
              </w:rPr>
              <w:t>1套</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按国家规范，高标准、严要求。</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可完成以下实验：</w:t>
            </w:r>
          </w:p>
          <w:p>
            <w:pPr>
              <w:widowControl/>
              <w:spacing w:before="72" w:beforeLines="30" w:after="72" w:afterLines="30"/>
              <w:ind w:firstLine="480" w:firstLineChars="200"/>
              <w:rPr>
                <w:rFonts w:ascii="宋体" w:hAnsi="宋体" w:cs="宋体"/>
                <w:kern w:val="0"/>
                <w:sz w:val="24"/>
                <w:szCs w:val="20"/>
              </w:rPr>
            </w:pPr>
            <w:r>
              <w:rPr>
                <w:rFonts w:hint="eastAsia" w:ascii="宋体" w:hAnsi="宋体" w:cs="宋体"/>
                <w:kern w:val="0"/>
                <w:sz w:val="24"/>
                <w:szCs w:val="20"/>
              </w:rPr>
              <w:t>1.一二次供配电装配实验。</w:t>
            </w:r>
          </w:p>
          <w:p>
            <w:pPr>
              <w:widowControl/>
              <w:spacing w:before="72" w:beforeLines="30" w:after="72" w:afterLines="30"/>
              <w:ind w:firstLine="480" w:firstLineChars="200"/>
              <w:rPr>
                <w:rFonts w:ascii="宋体" w:hAnsi="宋体" w:cs="宋体"/>
                <w:kern w:val="0"/>
                <w:sz w:val="24"/>
                <w:szCs w:val="20"/>
              </w:rPr>
            </w:pPr>
            <w:r>
              <w:rPr>
                <w:rFonts w:hint="eastAsia" w:ascii="宋体" w:hAnsi="宋体" w:cs="宋体"/>
                <w:kern w:val="0"/>
                <w:sz w:val="24"/>
                <w:szCs w:val="20"/>
              </w:rPr>
              <w:t>2.设备调试实验。</w:t>
            </w:r>
          </w:p>
          <w:p>
            <w:pPr>
              <w:widowControl/>
              <w:spacing w:before="72" w:beforeLines="30" w:after="72" w:afterLines="30"/>
              <w:ind w:firstLine="480" w:firstLineChars="200"/>
              <w:rPr>
                <w:rFonts w:ascii="宋体" w:hAnsi="宋体" w:cs="宋体"/>
                <w:kern w:val="0"/>
                <w:sz w:val="24"/>
                <w:szCs w:val="20"/>
              </w:rPr>
            </w:pPr>
            <w:r>
              <w:rPr>
                <w:rFonts w:hint="eastAsia" w:ascii="宋体" w:hAnsi="宋体" w:cs="宋体"/>
                <w:kern w:val="0"/>
                <w:sz w:val="24"/>
                <w:szCs w:val="20"/>
              </w:rPr>
              <w:t>3.电流测量实验。</w:t>
            </w:r>
          </w:p>
          <w:p>
            <w:pPr>
              <w:widowControl/>
              <w:spacing w:before="72" w:beforeLines="30" w:after="72" w:afterLines="30"/>
              <w:ind w:firstLine="480" w:firstLineChars="200"/>
              <w:rPr>
                <w:rFonts w:ascii="宋体" w:hAnsi="宋体" w:cs="宋体"/>
                <w:kern w:val="0"/>
                <w:sz w:val="24"/>
                <w:szCs w:val="20"/>
              </w:rPr>
            </w:pPr>
            <w:r>
              <w:rPr>
                <w:rFonts w:hint="eastAsia" w:ascii="宋体" w:hAnsi="宋体" w:cs="宋体"/>
                <w:kern w:val="0"/>
                <w:sz w:val="24"/>
                <w:szCs w:val="20"/>
              </w:rPr>
              <w:t>4.电压测量实验。</w:t>
            </w:r>
          </w:p>
          <w:p>
            <w:pPr>
              <w:widowControl/>
              <w:spacing w:before="72" w:beforeLines="30" w:after="72" w:afterLines="30"/>
              <w:ind w:firstLine="480" w:firstLineChars="200"/>
              <w:rPr>
                <w:rFonts w:ascii="宋体" w:hAnsi="宋体" w:cs="宋体"/>
                <w:kern w:val="0"/>
                <w:sz w:val="24"/>
                <w:szCs w:val="20"/>
              </w:rPr>
            </w:pPr>
            <w:r>
              <w:rPr>
                <w:rFonts w:hint="eastAsia" w:ascii="宋体" w:hAnsi="宋体" w:cs="宋体"/>
                <w:kern w:val="0"/>
                <w:sz w:val="24"/>
                <w:szCs w:val="20"/>
              </w:rPr>
              <w:t>5.无功补偿实验。</w:t>
            </w:r>
          </w:p>
          <w:p>
            <w:pPr>
              <w:widowControl/>
              <w:spacing w:before="72" w:beforeLines="30" w:after="72" w:afterLines="30"/>
              <w:ind w:firstLine="480" w:firstLineChars="200"/>
              <w:rPr>
                <w:rFonts w:ascii="宋体" w:hAnsi="宋体" w:cs="宋体"/>
                <w:kern w:val="0"/>
                <w:sz w:val="24"/>
                <w:szCs w:val="20"/>
              </w:rPr>
            </w:pPr>
            <w:r>
              <w:rPr>
                <w:rFonts w:hint="eastAsia" w:ascii="宋体" w:hAnsi="宋体" w:cs="宋体"/>
                <w:kern w:val="0"/>
                <w:sz w:val="24"/>
                <w:szCs w:val="20"/>
              </w:rPr>
              <w:t>6.防护等级测试。</w:t>
            </w:r>
          </w:p>
          <w:p>
            <w:pPr>
              <w:widowControl/>
              <w:spacing w:before="72" w:beforeLines="30" w:after="72" w:afterLines="30"/>
              <w:ind w:firstLine="480" w:firstLineChars="200"/>
              <w:rPr>
                <w:rFonts w:ascii="宋体" w:hAnsi="宋体" w:cs="宋体"/>
                <w:kern w:val="0"/>
                <w:sz w:val="24"/>
                <w:szCs w:val="20"/>
              </w:rPr>
            </w:pPr>
            <w:r>
              <w:rPr>
                <w:rFonts w:hint="eastAsia" w:ascii="宋体" w:hAnsi="宋体" w:cs="宋体"/>
                <w:kern w:val="0"/>
                <w:sz w:val="24"/>
                <w:szCs w:val="20"/>
              </w:rPr>
              <w:t>7.接地电阻测试。</w:t>
            </w:r>
          </w:p>
          <w:p>
            <w:pPr>
              <w:widowControl/>
              <w:spacing w:before="72" w:beforeLines="30" w:after="72" w:afterLines="30"/>
              <w:ind w:firstLine="480" w:firstLineChars="200"/>
              <w:rPr>
                <w:rFonts w:ascii="宋体" w:hAnsi="宋体" w:cs="宋体"/>
                <w:kern w:val="0"/>
                <w:sz w:val="24"/>
                <w:szCs w:val="20"/>
              </w:rPr>
            </w:pPr>
            <w:r>
              <w:rPr>
                <w:rFonts w:hint="eastAsia" w:ascii="宋体" w:hAnsi="宋体" w:cs="宋体"/>
                <w:kern w:val="0"/>
                <w:sz w:val="24"/>
                <w:szCs w:val="20"/>
              </w:rPr>
              <w:t>8.受电耐压测试等。</w:t>
            </w:r>
          </w:p>
          <w:p>
            <w:pPr>
              <w:widowControl/>
              <w:spacing w:before="72" w:beforeLines="30" w:after="120" w:afterLines="50"/>
              <w:rPr>
                <w:rFonts w:ascii="宋体" w:hAnsi="宋体" w:cs="宋体"/>
                <w:kern w:val="0"/>
                <w:sz w:val="24"/>
                <w:szCs w:val="20"/>
              </w:rPr>
            </w:pPr>
            <w:r>
              <w:rPr>
                <w:rFonts w:hint="eastAsia" w:ascii="宋体" w:hAnsi="宋体" w:cs="宋体"/>
                <w:kern w:val="0"/>
                <w:sz w:val="24"/>
                <w:szCs w:val="20"/>
              </w:rPr>
              <w:t>提供实验实训指导书、现场调试和教师培训</w:t>
            </w:r>
          </w:p>
        </w:tc>
        <w:tc>
          <w:tcPr>
            <w:tcW w:w="709" w:type="dxa"/>
            <w:tcBorders>
              <w:top w:val="single" w:color="auto" w:sz="4" w:space="0"/>
              <w:bottom w:val="single" w:color="auto" w:sz="4" w:space="0"/>
              <w:right w:val="single" w:color="auto" w:sz="4" w:space="0"/>
            </w:tcBorders>
            <w:shd w:val="clear" w:color="auto" w:fill="auto"/>
          </w:tcPr>
          <w:p>
            <w:pPr>
              <w:widowControl/>
              <w:rPr>
                <w:rFonts w:ascii="宋体" w:hAnsi="宋体" w:cs="宋体"/>
                <w:kern w:val="0"/>
                <w:sz w:val="24"/>
                <w:szCs w:val="20"/>
              </w:rPr>
            </w:pPr>
          </w:p>
          <w:p>
            <w:pPr>
              <w:widowControl/>
              <w:rPr>
                <w:rFonts w:ascii="宋体" w:hAnsi="宋体" w:cs="宋体"/>
                <w:kern w:val="0"/>
                <w:sz w:val="24"/>
                <w:szCs w:val="20"/>
              </w:rPr>
            </w:pPr>
            <w:r>
              <w:rPr>
                <w:rFonts w:hint="eastAsia" w:ascii="宋体" w:hAnsi="宋体" w:cs="宋体"/>
                <w:kern w:val="0"/>
                <w:sz w:val="24"/>
                <w:szCs w:val="20"/>
              </w:rPr>
              <w:t>1</w:t>
            </w:r>
          </w:p>
        </w:tc>
        <w:tc>
          <w:tcPr>
            <w:tcW w:w="709" w:type="dxa"/>
            <w:tcBorders>
              <w:top w:val="single" w:color="auto" w:sz="4" w:space="0"/>
              <w:bottom w:val="single" w:color="auto" w:sz="4" w:space="0"/>
              <w:right w:val="single" w:color="auto" w:sz="4" w:space="0"/>
            </w:tcBorders>
            <w:shd w:val="clear" w:color="auto" w:fill="auto"/>
          </w:tcPr>
          <w:p>
            <w:pPr>
              <w:widowControl/>
              <w:rPr>
                <w:kern w:val="0"/>
                <w:sz w:val="24"/>
                <w:szCs w:val="20"/>
              </w:rPr>
            </w:pPr>
          </w:p>
          <w:p>
            <w:pPr>
              <w:widowControl/>
              <w:rPr>
                <w:kern w:val="0"/>
                <w:sz w:val="24"/>
                <w:szCs w:val="20"/>
              </w:rPr>
            </w:pPr>
            <w:r>
              <w:rPr>
                <w:rFonts w:hint="eastAsia"/>
                <w:kern w:val="0"/>
                <w:sz w:val="24"/>
                <w:szCs w:val="20"/>
              </w:rPr>
              <w:t>个</w:t>
            </w:r>
          </w:p>
        </w:tc>
      </w:tr>
      <w:tr>
        <w:tblPrEx>
          <w:tblLayout w:type="fixed"/>
          <w:tblCellMar>
            <w:top w:w="0" w:type="dxa"/>
            <w:left w:w="108" w:type="dxa"/>
            <w:bottom w:w="0" w:type="dxa"/>
            <w:right w:w="108" w:type="dxa"/>
          </w:tblCellMar>
        </w:tblPrEx>
        <w:tc>
          <w:tcPr>
            <w:tcW w:w="5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5</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供配电技术实训装置后台监控系统</w:t>
            </w:r>
          </w:p>
        </w:tc>
        <w:tc>
          <w:tcPr>
            <w:tcW w:w="6379" w:type="dxa"/>
            <w:tcBorders>
              <w:top w:val="nil"/>
              <w:left w:val="nil"/>
              <w:bottom w:val="single" w:color="auto" w:sz="4" w:space="0"/>
              <w:right w:val="single" w:color="auto" w:sz="4" w:space="0"/>
            </w:tcBorders>
            <w:shd w:val="clear" w:color="auto" w:fill="auto"/>
          </w:tcPr>
          <w:p>
            <w:pPr>
              <w:widowControl/>
              <w:spacing w:before="120" w:beforeLines="50" w:after="72" w:afterLines="30"/>
              <w:rPr>
                <w:rFonts w:ascii="宋体" w:hAnsi="宋体" w:cs="宋体"/>
                <w:kern w:val="0"/>
                <w:sz w:val="24"/>
                <w:szCs w:val="20"/>
              </w:rPr>
            </w:pPr>
            <w:r>
              <w:rPr>
                <w:rFonts w:hint="eastAsia" w:ascii="宋体" w:hAnsi="宋体" w:cs="宋体"/>
                <w:kern w:val="0"/>
                <w:sz w:val="24"/>
                <w:szCs w:val="20"/>
              </w:rPr>
              <w:t>监控主机：DELL 戴尔品牌机：</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处理器，Intel 酷睿i5 6500，</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显卡,Intel GMA HD 530,</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内存，4GB DDR4 2133MHz；</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硬盘，500G</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显示器</w:t>
            </w:r>
            <w:r>
              <w:rPr>
                <w:rFonts w:hint="eastAsia" w:ascii="宋体" w:hAnsi="宋体" w:cs="宋体"/>
                <w:kern w:val="0"/>
                <w:sz w:val="24"/>
                <w:szCs w:val="20"/>
              </w:rPr>
              <w:tab/>
            </w:r>
            <w:r>
              <w:rPr>
                <w:rFonts w:hint="eastAsia" w:ascii="宋体" w:hAnsi="宋体" w:cs="宋体"/>
                <w:kern w:val="0"/>
                <w:sz w:val="24"/>
                <w:szCs w:val="20"/>
              </w:rPr>
              <w:t>DELL 22"</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打印机</w:t>
            </w:r>
            <w:r>
              <w:rPr>
                <w:rFonts w:hint="eastAsia" w:ascii="宋体" w:hAnsi="宋体" w:cs="宋体"/>
                <w:kern w:val="0"/>
                <w:sz w:val="24"/>
                <w:szCs w:val="20"/>
              </w:rPr>
              <w:tab/>
            </w:r>
            <w:r>
              <w:rPr>
                <w:rFonts w:hint="eastAsia" w:ascii="宋体" w:hAnsi="宋体" w:cs="宋体"/>
                <w:kern w:val="0"/>
                <w:sz w:val="24"/>
                <w:szCs w:val="20"/>
              </w:rPr>
              <w:t>HP1160</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网络附件</w:t>
            </w:r>
            <w:r>
              <w:rPr>
                <w:rFonts w:hint="eastAsia" w:ascii="宋体" w:hAnsi="宋体" w:cs="宋体"/>
                <w:kern w:val="0"/>
                <w:sz w:val="24"/>
                <w:szCs w:val="20"/>
              </w:rPr>
              <w:tab/>
            </w:r>
            <w:r>
              <w:rPr>
                <w:rFonts w:hint="eastAsia" w:ascii="宋体" w:hAnsi="宋体" w:cs="宋体"/>
                <w:kern w:val="0"/>
                <w:sz w:val="24"/>
                <w:szCs w:val="20"/>
              </w:rPr>
              <w:t>网线，水晶头等 1套</w:t>
            </w:r>
          </w:p>
          <w:p>
            <w:pPr>
              <w:widowControl/>
              <w:spacing w:before="72" w:beforeLines="30" w:after="120" w:afterLines="50"/>
              <w:rPr>
                <w:rFonts w:ascii="宋体" w:hAnsi="宋体" w:cs="宋体"/>
                <w:kern w:val="0"/>
                <w:sz w:val="24"/>
                <w:szCs w:val="20"/>
              </w:rPr>
            </w:pPr>
            <w:r>
              <w:rPr>
                <w:rFonts w:hint="eastAsia" w:ascii="宋体" w:hAnsi="宋体" w:cs="宋体"/>
                <w:kern w:val="0"/>
                <w:sz w:val="24"/>
                <w:szCs w:val="20"/>
              </w:rPr>
              <w:t>系统应用软件</w:t>
            </w:r>
            <w:r>
              <w:rPr>
                <w:rFonts w:hint="eastAsia" w:ascii="宋体" w:hAnsi="宋体" w:cs="宋体"/>
                <w:kern w:val="0"/>
                <w:sz w:val="24"/>
                <w:szCs w:val="20"/>
              </w:rPr>
              <w:tab/>
            </w:r>
            <w:r>
              <w:rPr>
                <w:rFonts w:hint="eastAsia" w:ascii="宋体" w:hAnsi="宋体" w:cs="宋体"/>
                <w:kern w:val="0"/>
                <w:sz w:val="24"/>
                <w:szCs w:val="20"/>
              </w:rPr>
              <w:t>后台监控软件  1套</w:t>
            </w:r>
          </w:p>
          <w:p>
            <w:pPr>
              <w:widowControl/>
              <w:spacing w:before="72" w:beforeLines="30" w:after="120" w:afterLines="50"/>
              <w:rPr>
                <w:rFonts w:ascii="宋体" w:hAnsi="宋体" w:cs="宋体"/>
                <w:kern w:val="0"/>
                <w:sz w:val="24"/>
                <w:szCs w:val="20"/>
              </w:rPr>
            </w:pPr>
            <w:r>
              <w:rPr>
                <w:rFonts w:hint="eastAsia" w:ascii="宋体" w:hAnsi="宋体" w:cs="宋体"/>
                <w:kern w:val="0"/>
                <w:sz w:val="24"/>
                <w:szCs w:val="20"/>
              </w:rPr>
              <w:t>★四遥功能：遥控，遥调，遥信，遥测；电流电压电度，有功无功功率因素，每日、每周、每年报文，事件报告，告警，可编辑功能</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UPS</w:t>
            </w:r>
            <w:r>
              <w:rPr>
                <w:rFonts w:hint="eastAsia" w:ascii="宋体" w:hAnsi="宋体" w:cs="宋体"/>
                <w:kern w:val="0"/>
                <w:sz w:val="24"/>
                <w:szCs w:val="20"/>
              </w:rPr>
              <w:tab/>
            </w:r>
            <w:r>
              <w:rPr>
                <w:rFonts w:hint="eastAsia" w:ascii="宋体" w:hAnsi="宋体" w:cs="宋体"/>
                <w:kern w:val="0"/>
                <w:sz w:val="24"/>
                <w:szCs w:val="20"/>
              </w:rPr>
              <w:t xml:space="preserve">   山特 1kVA</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通讯服务器</w:t>
            </w:r>
            <w:r>
              <w:rPr>
                <w:rFonts w:hint="eastAsia" w:ascii="宋体" w:hAnsi="宋体" w:cs="宋体"/>
                <w:kern w:val="0"/>
                <w:sz w:val="24"/>
                <w:szCs w:val="20"/>
              </w:rPr>
              <w:tab/>
            </w:r>
            <w:r>
              <w:rPr>
                <w:rFonts w:hint="eastAsia" w:ascii="宋体" w:hAnsi="宋体" w:cs="宋体"/>
                <w:kern w:val="0"/>
                <w:sz w:val="24"/>
                <w:szCs w:val="20"/>
              </w:rPr>
              <w:t xml:space="preserve">  1 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交换机</w:t>
            </w:r>
            <w:r>
              <w:rPr>
                <w:rFonts w:hint="eastAsia" w:ascii="宋体" w:hAnsi="宋体" w:cs="宋体"/>
                <w:kern w:val="0"/>
                <w:sz w:val="24"/>
                <w:szCs w:val="20"/>
              </w:rPr>
              <w:tab/>
            </w:r>
            <w:r>
              <w:rPr>
                <w:rFonts w:hint="eastAsia" w:ascii="宋体" w:hAnsi="宋体" w:cs="宋体"/>
                <w:kern w:val="0"/>
                <w:sz w:val="24"/>
                <w:szCs w:val="20"/>
              </w:rPr>
              <w:t>TP-LINK(16口）</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★后台监控系统品牌：许继或国网南自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可实现配电柜开关状态、电流电压和故障等数据采集。</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可完成实验：1.数据采集实验。2.运行状态及故障报警实验等 。</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提供实验实训指导书、现场调试和教师培训</w:t>
            </w:r>
          </w:p>
        </w:tc>
        <w:tc>
          <w:tcPr>
            <w:tcW w:w="709" w:type="dxa"/>
            <w:tcBorders>
              <w:top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1</w:t>
            </w:r>
          </w:p>
        </w:tc>
        <w:tc>
          <w:tcPr>
            <w:tcW w:w="709" w:type="dxa"/>
            <w:tcBorders>
              <w:top w:val="single" w:color="auto" w:sz="4" w:space="0"/>
              <w:bottom w:val="single" w:color="auto" w:sz="4" w:space="0"/>
              <w:right w:val="single" w:color="auto" w:sz="4" w:space="0"/>
            </w:tcBorders>
            <w:shd w:val="clear" w:color="auto" w:fill="auto"/>
            <w:vAlign w:val="center"/>
          </w:tcPr>
          <w:p>
            <w:pPr>
              <w:widowControl/>
              <w:rPr>
                <w:kern w:val="0"/>
                <w:sz w:val="24"/>
                <w:szCs w:val="20"/>
              </w:rPr>
            </w:pPr>
            <w:r>
              <w:rPr>
                <w:rFonts w:hint="eastAsia"/>
                <w:kern w:val="0"/>
                <w:sz w:val="24"/>
                <w:szCs w:val="20"/>
              </w:rPr>
              <w:t>套</w:t>
            </w:r>
          </w:p>
        </w:tc>
      </w:tr>
      <w:tr>
        <w:tblPrEx>
          <w:tblLayout w:type="fixed"/>
          <w:tblCellMar>
            <w:top w:w="0" w:type="dxa"/>
            <w:left w:w="108" w:type="dxa"/>
            <w:bottom w:w="0" w:type="dxa"/>
            <w:right w:w="108" w:type="dxa"/>
          </w:tblCellMar>
        </w:tblPrEx>
        <w:tc>
          <w:tcPr>
            <w:tcW w:w="5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6</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电力电子技术实训装置</w:t>
            </w:r>
          </w:p>
        </w:tc>
        <w:tc>
          <w:tcPr>
            <w:tcW w:w="6379" w:type="dxa"/>
            <w:tcBorders>
              <w:top w:val="single" w:color="auto" w:sz="4" w:space="0"/>
              <w:left w:val="nil"/>
              <w:bottom w:val="single" w:color="auto" w:sz="4" w:space="0"/>
              <w:right w:val="single" w:color="auto" w:sz="4" w:space="0"/>
            </w:tcBorders>
            <w:shd w:val="clear" w:color="auto" w:fill="auto"/>
          </w:tcPr>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一、</w:t>
            </w:r>
            <w:r>
              <w:rPr>
                <w:rFonts w:hint="eastAsia" w:ascii="宋体" w:hAnsi="宋体" w:cs="宋体"/>
                <w:kern w:val="0"/>
                <w:sz w:val="24"/>
                <w:szCs w:val="20"/>
              </w:rPr>
              <w:tab/>
            </w:r>
            <w:r>
              <w:rPr>
                <w:rFonts w:hint="eastAsia" w:ascii="宋体" w:hAnsi="宋体" w:cs="宋体"/>
                <w:kern w:val="0"/>
                <w:sz w:val="24"/>
                <w:szCs w:val="20"/>
              </w:rPr>
              <w:t>技术性能</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 xml:space="preserve">1. 输入电源：三相四线(或三相五线 380V±10% 50Hz) </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2. 工作环境：温度-10℃～+40℃　相对湿度＜85% (25℃)　海拔＜4000m</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3. 装置容量：＜1.6kVA   4. 外形尺寸：187cm×72cm×162cm</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二、 系统组成</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1. DK01电源控制屏(铁质双层亚光密纹喷塑结构，铝质面板)</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(1)三相缺相指示、相序检测及过压指示</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当输入设备的三相电源电压缺少任何一路或者两路，控制屏面板上相应指示灯亮；当三相电源正常时自动检测输入电源的相序关系，当电网电压值大于255V时自动发出告警信号。</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(2)交流电源(均带有过流保护措施)</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提供交流电源：直流调速档为三相交流电  200V/3A，交流调速档为三相交流电  240V/3A</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(3)高压直流电源</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励磁电源：220V/0.5A，具有输出短路保护。</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(4)数字式仪表</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交流数字电压表：可通过其下方的波段开关切换指示三相电网输入线电压，精度1.0级。</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真有效值交流数字电压表一只：测量范围0～500V，量程自动判断、自动切换，精度0.5级，三位半数显，为交流调速系统电力电子技术实验提供电压指示。真有效值交流数字电流表一只：测量范围0～5A，量程自动判断、自动切换，精度0.5级，三位半数显，具有超量程告警、指示及切断总电源功能，为调速系统提供电流指示。</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直流数字电压表一只：测量范围0～500V，三位半数显，输入阻抗为10MΩ，精度0.5。</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直流数字电流表一只：测量范围为0～5A，三位半数显，精度0.5级，具有超量程报警、指示、切断总电源等功能。</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(5)人身安全保护体系</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三相隔离变压器一组：三相电源首先通过三相漏电保护器，然后经钥匙开关、接触器到隔离变压器，使输出与电网隔离(浮地设计)，对人身安全起到一定的保护作用。</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电压型漏电保护器1：对隔离变压器前的线路出现的漏电现象进行保护，使控制屏内的接触器跳闸，切断电源。 电压型漏电保护器2：对隔离变压器后的线路及实验过程中的接线等出现的漏电现象进行保护，发出声光报警信号并切断电源，确保人身安全。</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 xml:space="preserve"> 电流型漏电保护装置：控制屏若有漏电现象，漏电流超过一定值，即切断电源。</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实验连接线及插座：强、弱电连接及插座分开，不能混插。强电连接线及插座采用全封闭工艺，使用安全、可靠、防触电。</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(6)定时器兼报警记录仪</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平时作为时钟使用，具有设定实验时间、定时报警、提前提醒后切断电源等功能，还可以自动记录由于接线或操作错误所造成的告警次数。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(7)控制屏其它设施</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★控制屏正面大凹槽内，设有两根圆钢管，可挂置实验部件，凹槽底部设有3芯插座，挂箱的供电由这些插座提供。控制屏两边设有单相三极220V电源插座及三相四极380V电源插座。</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2.DK02实验桌</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实验桌为铁质双层亚光密纹喷塑结构，桌面为防火、防水、耐磨高密度板，结构坚固，形状似长方体封闭式结构，造型美观大方；设有两个大抽屉、柜门，用于放置工具、存放挂件及资料等。桌面用于安装电源控制屏并提供一个宽敞舒适的工作台面。实验桌还设有四个万向轮和四个固定调节机构，便于移动和固定，有利于实验室的布局。</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3. DD03-3不锈钢电机导轨、光码盘测速系统及数显转速表</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4.DQ27三相可调电阻（每组900Ω×2/0.41A）作为实验中的可调电阻性负载用。</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5.DK03晶闸管主电路</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12只5A/1000V的晶闸管，分成正、反桥两组，，每只晶闸管均设有保护装置，晶闸管可通过外加信号进行触发（留有触发脉冲输入接口），可更好的完成设计性实验；设有带镜面精密指针式直流电压表±300V一只，正反偏，精度1.0。级带镜面直流电流表±2A，正反偏，精度1.0级一只。和平波电抗器一组（0，100mH，200mH，700mH）。</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6.DK04三相晶闸管触发电路</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提供三相触发电路、功放电路等，与“DK03”配套使用</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DK05 单相晶闸管触发电路实验</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提供单结晶体管触发电路、正弦波同步移相触发电路、锯齿波同步移相触发电路、单相交流调压触发电路、TCA786集成触发电路共五个触发电路实验。</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7.DK06电机调速控制实验（Ⅰ）</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提供以下模块：给定（带数显）、调节器I、转速变换（FBS）、调节器II、反号器（AR）、电流变换（FBC）。其中调节器I和调节器II的比例增益由电位器调节。</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DK06-1电机调速控制实验（Ⅱ）</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提供以下模块提供以下模块：零电平检测（DPZ）、转矩极性鉴别（DPT）、逻辑控制（DLC）</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8.DK07直流斩波实验</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根据西安交通大学王兆安教授和黄俊教授主编的《电力电子技术》(第四版)中相关的直流斩波内容而设计的；提供组成直流斩波电路所需的元器件和采用专用的PWM控制集成电路SG3525。可完成教材中降压斩波电路（Buck Chopper）、升压斩波电路（Boost Chopper）、升降压斩波电路（Boost -Buck Chopper）、Cuk斩波电路、Sepic斩波电路、Zeta斩波电路等六种典型实验</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9.DK08给定及实验器件</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提供给定(±15V可调电压输出)、压敏电阻(作为过压保护元件，内部已连成三角形接法)、二极管。</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10.DK09新器件特性实验</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提供SCR、GTO、MOSFET、IGBT、GTR新器件，与DK13配套使用，可完成电力电子新器件的驱动特性实验</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11.DK10可调电阻、电容箱</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提供耐压AC63V的可调电容三组，调节范围为0.1～11.37µF，0～999kΩ十进制可调电阻两组；供电流调节器，速度调节器反馈回路使用，可灵活改变调节器的放大倍数及积分时间。</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12.DK11单相调压与可调负载</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提供了一只0～250V/0.5kVA单相交流自耦调压器，为相应的实验提供可调电源；一个整流滤波电路以及0～180Ω/1.3A(串联)或0～45Ω/2.6A(并联)瓷盘可调电阻，为相应的实验提供一个可调的阻性负载。</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13.DK12变压器实验</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提供三相芯式变压器一个（该变压器有2套副边绕组，原、副边绕组的电压为127V/63.6V/31.8V），用于异步电机串级调速实验和三相桥式、单相桥式有源逆变电路实验；还设有三相不控整流电路等模块</w:t>
            </w:r>
          </w:p>
          <w:p>
            <w:pPr>
              <w:widowControl/>
              <w:spacing w:before="72" w:beforeLines="30" w:after="72" w:afterLines="30"/>
              <w:rPr>
                <w:rFonts w:ascii="宋体" w:hAnsi="宋体" w:cs="宋体"/>
                <w:kern w:val="0"/>
                <w:sz w:val="24"/>
                <w:szCs w:val="20"/>
              </w:rPr>
            </w:pPr>
            <w:r>
              <w:rPr>
                <w:rFonts w:ascii="宋体" w:hAnsi="宋体" w:cs="宋体"/>
                <w:kern w:val="0"/>
                <w:sz w:val="24"/>
                <w:szCs w:val="20"/>
              </w:rPr>
              <w:t>1</w:t>
            </w:r>
            <w:r>
              <w:rPr>
                <w:rFonts w:hint="eastAsia" w:ascii="宋体" w:hAnsi="宋体" w:cs="宋体"/>
                <w:kern w:val="0"/>
                <w:sz w:val="24"/>
                <w:szCs w:val="20"/>
              </w:rPr>
              <w:t>4</w:t>
            </w:r>
            <w:r>
              <w:rPr>
                <w:rFonts w:ascii="宋体" w:hAnsi="宋体" w:cs="宋体"/>
                <w:kern w:val="0"/>
                <w:sz w:val="24"/>
                <w:szCs w:val="20"/>
              </w:rPr>
              <w:t>.</w:t>
            </w:r>
            <w:r>
              <w:rPr>
                <w:rFonts w:hint="eastAsia" w:ascii="宋体" w:hAnsi="宋体" w:cs="宋体"/>
                <w:kern w:val="0"/>
                <w:sz w:val="24"/>
                <w:szCs w:val="20"/>
              </w:rPr>
              <w:t>DK17双闭环H桥DC/DC变换直流调速系统</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本挂箱可完成的实验项目有：(1)全桥DC/DC变换电路实验；(2)双闭环可逆直流脉宽调速实验。</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15.DQ07-1直流发电机 （220V、240W、1500r/min）</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DQ09直流并励电动机 （185W，220V，1500r/min）</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16. DJ17三相线绕式异步电动机：220V/Y、0.6A、120W、1380r/min</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DJ17-2线绕式异步电机转子专用箱</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17. 实验连接线：根据不同实验项目的特点，配备两种不同的实验联接线，强电部分采用高可靠护套结构手枪插连接线(不存在任何触电的可能)，里面采用无氧铜抽丝而成头发丝般细的多股线，达到超软目的，外包丁晴聚氯乙烯绝缘层，具有柔软、耐压高、强度大、防硬化、韧性好等优点，插头采用实芯铜质件外套铍轻铜弹片，接触安全可靠；弱电部分采用弹性铍轻铜裸露结构联接线，两种导线都只能配合相应内孔的插座，这样大大提高了实验的安全及合理性。</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提供实验实训指导书、现场调试和教师培训</w:t>
            </w:r>
          </w:p>
        </w:tc>
        <w:tc>
          <w:tcPr>
            <w:tcW w:w="709" w:type="dxa"/>
            <w:tcBorders>
              <w:top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2</w:t>
            </w:r>
          </w:p>
        </w:tc>
        <w:tc>
          <w:tcPr>
            <w:tcW w:w="709" w:type="dxa"/>
            <w:tcBorders>
              <w:top w:val="single" w:color="auto" w:sz="4" w:space="0"/>
              <w:bottom w:val="single" w:color="auto" w:sz="4" w:space="0"/>
              <w:right w:val="single" w:color="auto" w:sz="4" w:space="0"/>
            </w:tcBorders>
            <w:shd w:val="clear" w:color="auto" w:fill="auto"/>
            <w:vAlign w:val="center"/>
          </w:tcPr>
          <w:p>
            <w:pPr>
              <w:widowControl/>
              <w:rPr>
                <w:kern w:val="0"/>
                <w:sz w:val="24"/>
                <w:szCs w:val="20"/>
              </w:rPr>
            </w:pPr>
            <w:r>
              <w:rPr>
                <w:rFonts w:hint="eastAsia"/>
                <w:kern w:val="0"/>
                <w:sz w:val="24"/>
                <w:szCs w:val="20"/>
              </w:rPr>
              <w:t>套</w:t>
            </w:r>
          </w:p>
        </w:tc>
      </w:tr>
      <w:tr>
        <w:tblPrEx>
          <w:tblLayout w:type="fixed"/>
          <w:tblCellMar>
            <w:top w:w="0" w:type="dxa"/>
            <w:left w:w="108" w:type="dxa"/>
            <w:bottom w:w="0" w:type="dxa"/>
            <w:right w:w="108" w:type="dxa"/>
          </w:tblCellMar>
        </w:tblPrEx>
        <w:tc>
          <w:tcPr>
            <w:tcW w:w="5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7</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直流稳压电源</w:t>
            </w:r>
          </w:p>
        </w:tc>
        <w:tc>
          <w:tcPr>
            <w:tcW w:w="6379" w:type="dxa"/>
            <w:tcBorders>
              <w:top w:val="nil"/>
              <w:left w:val="nil"/>
              <w:bottom w:val="single" w:color="auto" w:sz="4" w:space="0"/>
              <w:right w:val="single" w:color="auto" w:sz="4" w:space="0"/>
            </w:tcBorders>
            <w:shd w:val="clear" w:color="auto" w:fill="auto"/>
          </w:tcPr>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输入电压：220V±10% @50Hz±5Hz输出电压：DC 0-60V 输出电流：DC 0-20A 显示精度：±1%±1字，电压分辨率0.1V，电流分辨率0.1A）开机延迟：3-5S 关机延迟：1-10S（视负载而定）电压稳定度：≤0.2% 电流稳定度：≤0.5% 负载稳定度：≤0.5% 纹波及噪声：≤1%（有效值）整机效率：≥86%（满载情况下测试）</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工作环境：-10℃- +40℃ 相对湿度20%-90%（非凝结）存储环境：-20℃- +80℃ 相对湿度20%-80%（非凝结）接地电阻：＜20mΩ</w:t>
            </w:r>
          </w:p>
        </w:tc>
        <w:tc>
          <w:tcPr>
            <w:tcW w:w="709" w:type="dxa"/>
            <w:tcBorders>
              <w:top w:val="single" w:color="auto" w:sz="4" w:space="0"/>
              <w:bottom w:val="single" w:color="auto" w:sz="4" w:space="0"/>
              <w:right w:val="single" w:color="auto" w:sz="4" w:space="0"/>
            </w:tcBorders>
            <w:shd w:val="clear" w:color="auto" w:fill="auto"/>
          </w:tcPr>
          <w:p>
            <w:pPr>
              <w:widowControl/>
              <w:rPr>
                <w:rFonts w:ascii="宋体" w:hAnsi="宋体" w:cs="宋体"/>
                <w:kern w:val="0"/>
                <w:sz w:val="24"/>
                <w:szCs w:val="20"/>
              </w:rPr>
            </w:pPr>
            <w:r>
              <w:rPr>
                <w:rFonts w:hint="eastAsia" w:ascii="宋体" w:hAnsi="宋体" w:cs="宋体"/>
                <w:kern w:val="0"/>
                <w:sz w:val="24"/>
                <w:szCs w:val="20"/>
              </w:rPr>
              <w:t>2</w:t>
            </w:r>
          </w:p>
        </w:tc>
        <w:tc>
          <w:tcPr>
            <w:tcW w:w="709" w:type="dxa"/>
            <w:tcBorders>
              <w:top w:val="single" w:color="auto" w:sz="4" w:space="0"/>
              <w:bottom w:val="single" w:color="auto" w:sz="4" w:space="0"/>
              <w:right w:val="single" w:color="auto" w:sz="4" w:space="0"/>
            </w:tcBorders>
            <w:shd w:val="clear" w:color="auto" w:fill="auto"/>
          </w:tcPr>
          <w:p>
            <w:pPr>
              <w:widowControl/>
              <w:rPr>
                <w:kern w:val="0"/>
                <w:sz w:val="24"/>
                <w:szCs w:val="20"/>
              </w:rPr>
            </w:pPr>
            <w:r>
              <w:rPr>
                <w:rFonts w:hint="eastAsia"/>
                <w:kern w:val="0"/>
                <w:sz w:val="24"/>
                <w:szCs w:val="20"/>
              </w:rPr>
              <w:t>台</w:t>
            </w:r>
          </w:p>
        </w:tc>
      </w:tr>
      <w:tr>
        <w:tblPrEx>
          <w:tblLayout w:type="fixed"/>
          <w:tblCellMar>
            <w:top w:w="0" w:type="dxa"/>
            <w:left w:w="108" w:type="dxa"/>
            <w:bottom w:w="0" w:type="dxa"/>
            <w:right w:w="108" w:type="dxa"/>
          </w:tblCellMar>
        </w:tblPrEx>
        <w:tc>
          <w:tcPr>
            <w:tcW w:w="5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8</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函数信号发生器</w:t>
            </w:r>
          </w:p>
        </w:tc>
        <w:tc>
          <w:tcPr>
            <w:tcW w:w="6379" w:type="dxa"/>
            <w:tcBorders>
              <w:top w:val="nil"/>
              <w:left w:val="nil"/>
              <w:bottom w:val="single" w:color="auto" w:sz="4" w:space="0"/>
              <w:right w:val="single" w:color="auto" w:sz="4" w:space="0"/>
            </w:tcBorders>
            <w:shd w:val="clear" w:color="auto" w:fill="auto"/>
          </w:tcPr>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125MSa/s采样率，14Bit垂直分辨率，输出5种标准波形，内置46种任意波形，最高输出频率可选20Mhz,25Mhz和50Mhz,可选配高精度时钟基准，内置高精度，宽频带频率计，频率范围100mhz~200mhz,标准USB配置接口，支持远程命令控制，支持任意波编辑软件，直接获取存储波形并无损重现，支持中英文菜单显示及中英文嵌入式帮助系统，人性化设计，拥有专门接地端子，丰富的调制功能：AM、DSB-AM、FM、PM、FSK、ASK、PWM等。</w:t>
            </w:r>
          </w:p>
        </w:tc>
        <w:tc>
          <w:tcPr>
            <w:tcW w:w="709" w:type="dxa"/>
            <w:tcBorders>
              <w:top w:val="single" w:color="auto" w:sz="4" w:space="0"/>
              <w:bottom w:val="single" w:color="auto" w:sz="4" w:space="0"/>
              <w:right w:val="single" w:color="auto" w:sz="4" w:space="0"/>
            </w:tcBorders>
            <w:shd w:val="clear" w:color="auto" w:fill="auto"/>
          </w:tcPr>
          <w:p>
            <w:pPr>
              <w:widowControl/>
              <w:rPr>
                <w:rFonts w:ascii="宋体" w:hAnsi="宋体" w:cs="宋体"/>
                <w:kern w:val="0"/>
                <w:sz w:val="24"/>
                <w:szCs w:val="20"/>
              </w:rPr>
            </w:pPr>
          </w:p>
          <w:p>
            <w:pPr>
              <w:widowControl/>
              <w:rPr>
                <w:rFonts w:ascii="宋体" w:hAnsi="宋体" w:cs="宋体"/>
                <w:kern w:val="0"/>
                <w:sz w:val="24"/>
                <w:szCs w:val="20"/>
              </w:rPr>
            </w:pPr>
            <w:r>
              <w:rPr>
                <w:rFonts w:hint="eastAsia" w:ascii="宋体" w:hAnsi="宋体" w:cs="宋体"/>
                <w:kern w:val="0"/>
                <w:sz w:val="24"/>
                <w:szCs w:val="20"/>
              </w:rPr>
              <w:t>2</w:t>
            </w:r>
          </w:p>
        </w:tc>
        <w:tc>
          <w:tcPr>
            <w:tcW w:w="709" w:type="dxa"/>
            <w:tcBorders>
              <w:top w:val="single" w:color="auto" w:sz="4" w:space="0"/>
              <w:bottom w:val="single" w:color="auto" w:sz="4" w:space="0"/>
              <w:right w:val="single" w:color="auto" w:sz="4" w:space="0"/>
            </w:tcBorders>
            <w:shd w:val="clear" w:color="auto" w:fill="auto"/>
          </w:tcPr>
          <w:p>
            <w:pPr>
              <w:widowControl/>
              <w:rPr>
                <w:kern w:val="0"/>
                <w:sz w:val="24"/>
                <w:szCs w:val="20"/>
              </w:rPr>
            </w:pPr>
          </w:p>
          <w:p>
            <w:pPr>
              <w:widowControl/>
              <w:rPr>
                <w:kern w:val="0"/>
                <w:sz w:val="24"/>
                <w:szCs w:val="20"/>
              </w:rPr>
            </w:pPr>
            <w:r>
              <w:rPr>
                <w:rFonts w:hint="eastAsia"/>
                <w:kern w:val="0"/>
                <w:sz w:val="24"/>
                <w:szCs w:val="20"/>
              </w:rPr>
              <w:t>台</w:t>
            </w:r>
          </w:p>
        </w:tc>
      </w:tr>
      <w:tr>
        <w:tblPrEx>
          <w:tblLayout w:type="fixed"/>
          <w:tblCellMar>
            <w:top w:w="0" w:type="dxa"/>
            <w:left w:w="108" w:type="dxa"/>
            <w:bottom w:w="0" w:type="dxa"/>
            <w:right w:w="108" w:type="dxa"/>
          </w:tblCellMar>
        </w:tblPrEx>
        <w:tc>
          <w:tcPr>
            <w:tcW w:w="58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0"/>
              </w:rPr>
            </w:pPr>
            <w:r>
              <w:rPr>
                <w:rFonts w:hint="eastAsia" w:ascii="黑体" w:hAnsi="黑体" w:eastAsia="黑体" w:cs="宋体"/>
                <w:color w:val="000000"/>
                <w:kern w:val="0"/>
                <w:sz w:val="24"/>
                <w:szCs w:val="20"/>
              </w:rPr>
              <w:t>9</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4"/>
                <w:szCs w:val="20"/>
              </w:rPr>
            </w:pPr>
            <w:r>
              <w:rPr>
                <w:rFonts w:hint="eastAsia" w:ascii="宋体" w:hAnsi="宋体" w:cs="宋体"/>
                <w:kern w:val="0"/>
                <w:sz w:val="24"/>
                <w:szCs w:val="20"/>
              </w:rPr>
              <w:t>示波器</w:t>
            </w:r>
          </w:p>
        </w:tc>
        <w:tc>
          <w:tcPr>
            <w:tcW w:w="6379" w:type="dxa"/>
            <w:tcBorders>
              <w:top w:val="nil"/>
              <w:left w:val="nil"/>
              <w:bottom w:val="single" w:color="auto" w:sz="4" w:space="0"/>
              <w:right w:val="single" w:color="auto" w:sz="4" w:space="0"/>
            </w:tcBorders>
            <w:shd w:val="clear" w:color="auto" w:fill="auto"/>
          </w:tcPr>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带宽：200MHZ通道数：双通道+1个外触发通道</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最高实时采样率：单通500MSa/s,双通道250MSa/s</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等效采样率：1GSa/s存储深度：32K上升时间：&lt;1.7ns输入阻抗：1MΩ||17pF时基范围：10ns/div-50s/div，Roll：100ms-50s/div垂直灵敏度：2mv-5v/div(1-2-5顺序）</w:t>
            </w:r>
          </w:p>
          <w:p>
            <w:pPr>
              <w:widowControl/>
              <w:spacing w:before="72" w:beforeLines="30" w:after="72" w:afterLines="30"/>
              <w:rPr>
                <w:rFonts w:ascii="宋体" w:hAnsi="宋体" w:cs="宋体"/>
                <w:kern w:val="0"/>
                <w:sz w:val="24"/>
                <w:szCs w:val="20"/>
              </w:rPr>
            </w:pPr>
            <w:r>
              <w:rPr>
                <w:rFonts w:hint="eastAsia" w:ascii="宋体" w:hAnsi="宋体" w:cs="宋体"/>
                <w:kern w:val="0"/>
                <w:sz w:val="24"/>
                <w:szCs w:val="20"/>
              </w:rPr>
              <w:t>垂直分辨率：8bit显示：TFT 7英寸</w:t>
            </w:r>
          </w:p>
        </w:tc>
        <w:tc>
          <w:tcPr>
            <w:tcW w:w="709" w:type="dxa"/>
            <w:tcBorders>
              <w:top w:val="single" w:color="auto" w:sz="4" w:space="0"/>
              <w:bottom w:val="single" w:color="auto" w:sz="4" w:space="0"/>
              <w:right w:val="single" w:color="auto" w:sz="4" w:space="0"/>
            </w:tcBorders>
            <w:shd w:val="clear" w:color="auto" w:fill="auto"/>
          </w:tcPr>
          <w:p>
            <w:pPr>
              <w:widowControl/>
              <w:rPr>
                <w:rFonts w:ascii="宋体" w:hAnsi="宋体" w:cs="宋体"/>
                <w:kern w:val="0"/>
                <w:sz w:val="24"/>
                <w:szCs w:val="20"/>
              </w:rPr>
            </w:pPr>
            <w:r>
              <w:rPr>
                <w:rFonts w:hint="eastAsia" w:ascii="宋体" w:hAnsi="宋体" w:cs="宋体"/>
                <w:kern w:val="0"/>
                <w:sz w:val="24"/>
                <w:szCs w:val="20"/>
              </w:rPr>
              <w:t>2</w:t>
            </w:r>
          </w:p>
        </w:tc>
        <w:tc>
          <w:tcPr>
            <w:tcW w:w="709" w:type="dxa"/>
            <w:tcBorders>
              <w:top w:val="single" w:color="auto" w:sz="4" w:space="0"/>
              <w:bottom w:val="single" w:color="auto" w:sz="4" w:space="0"/>
              <w:right w:val="single" w:color="auto" w:sz="4" w:space="0"/>
            </w:tcBorders>
            <w:shd w:val="clear" w:color="auto" w:fill="auto"/>
          </w:tcPr>
          <w:p>
            <w:pPr>
              <w:widowControl/>
              <w:rPr>
                <w:kern w:val="0"/>
                <w:sz w:val="24"/>
                <w:szCs w:val="20"/>
              </w:rPr>
            </w:pPr>
            <w:r>
              <w:rPr>
                <w:rFonts w:hint="eastAsia"/>
                <w:kern w:val="0"/>
                <w:sz w:val="24"/>
                <w:szCs w:val="20"/>
              </w:rPr>
              <w:t>台</w:t>
            </w:r>
          </w:p>
        </w:tc>
      </w:tr>
    </w:tbl>
    <w:p>
      <w:pPr>
        <w:spacing w:before="100" w:beforeAutospacing="1" w:line="360" w:lineRule="auto"/>
        <w:outlineLvl w:val="1"/>
        <w:rPr>
          <w:b/>
          <w:bCs/>
          <w:sz w:val="24"/>
          <w:szCs w:val="20"/>
        </w:rPr>
      </w:pPr>
    </w:p>
    <w:p>
      <w:pPr>
        <w:spacing w:before="100" w:beforeAutospacing="1" w:line="360" w:lineRule="auto"/>
        <w:outlineLvl w:val="1"/>
        <w:rPr>
          <w:b/>
          <w:bCs/>
          <w:sz w:val="24"/>
          <w:szCs w:val="20"/>
        </w:rPr>
      </w:pPr>
      <w:r>
        <w:rPr>
          <w:rFonts w:hint="eastAsia"/>
          <w:b/>
          <w:bCs/>
          <w:sz w:val="24"/>
          <w:szCs w:val="20"/>
        </w:rPr>
        <w:t>（二）其他必要指标说明</w:t>
      </w:r>
    </w:p>
    <w:p>
      <w:pPr>
        <w:numPr>
          <w:ilvl w:val="0"/>
          <w:numId w:val="4"/>
        </w:numPr>
        <w:spacing w:line="360" w:lineRule="auto"/>
        <w:outlineLvl w:val="2"/>
        <w:rPr>
          <w:sz w:val="24"/>
          <w:szCs w:val="20"/>
        </w:rPr>
      </w:pPr>
      <w:r>
        <w:rPr>
          <w:rFonts w:hint="eastAsia"/>
          <w:sz w:val="24"/>
          <w:szCs w:val="20"/>
        </w:rPr>
        <w:t>质保期3年及以上，终身维护；</w:t>
      </w:r>
    </w:p>
    <w:p>
      <w:pPr>
        <w:numPr>
          <w:ilvl w:val="0"/>
          <w:numId w:val="4"/>
        </w:numPr>
        <w:spacing w:line="360" w:lineRule="auto"/>
        <w:outlineLvl w:val="2"/>
        <w:rPr>
          <w:sz w:val="24"/>
          <w:szCs w:val="20"/>
        </w:rPr>
      </w:pPr>
      <w:r>
        <w:rPr>
          <w:rFonts w:hint="eastAsia"/>
          <w:sz w:val="24"/>
          <w:szCs w:val="20"/>
        </w:rPr>
        <w:t>提供实训装置原理图和相关技术资料（纸质和电子）；</w:t>
      </w:r>
    </w:p>
    <w:p>
      <w:pPr>
        <w:spacing w:after="60" w:afterLines="25" w:line="300" w:lineRule="auto"/>
        <w:rPr>
          <w:sz w:val="24"/>
          <w:szCs w:val="20"/>
        </w:rPr>
        <w:sectPr>
          <w:type w:val="continuous"/>
          <w:pgSz w:w="11906" w:h="16838"/>
          <w:pgMar w:top="1361" w:right="1191" w:bottom="1701" w:left="1077" w:header="851" w:footer="680" w:gutter="0"/>
          <w:pgNumType w:fmt="decimalFullWidth" w:start="1"/>
          <w:cols w:space="720" w:num="1"/>
          <w:docGrid w:linePitch="290" w:charSpace="0"/>
        </w:sectPr>
      </w:pPr>
      <w:r>
        <w:rPr>
          <w:rFonts w:hint="eastAsia"/>
          <w:sz w:val="24"/>
          <w:szCs w:val="20"/>
        </w:rPr>
        <w:t>3、配有实验实训指导书和操作手册（纸质和电子）</w:t>
      </w:r>
    </w:p>
    <w:p>
      <w:pPr>
        <w:spacing w:line="360" w:lineRule="auto"/>
        <w:rPr>
          <w:rFonts w:ascii="宋体" w:hAnsi="宋体" w:cs="宋体"/>
          <w:sz w:val="24"/>
          <w:szCs w:val="24"/>
        </w:rPr>
      </w:pPr>
      <w:r>
        <w:rPr>
          <w:rFonts w:hint="eastAsia" w:ascii="宋体" w:hAnsi="宋体"/>
          <w:b/>
          <w:bCs/>
          <w:kern w:val="0"/>
          <w:sz w:val="24"/>
          <w:szCs w:val="24"/>
        </w:rPr>
        <w:t>（特别说明：上述要求供应商须在投标文件中进行逐项应答，其中打“</w:t>
      </w:r>
      <w:r>
        <w:rPr>
          <w:rFonts w:hint="eastAsia" w:ascii="宋体" w:hAnsi="宋体"/>
          <w:color w:val="000000"/>
          <w:sz w:val="24"/>
          <w:szCs w:val="24"/>
        </w:rPr>
        <w:t>★</w:t>
      </w:r>
      <w:r>
        <w:rPr>
          <w:rFonts w:hint="eastAsia" w:ascii="宋体" w:hAnsi="宋体"/>
          <w:b/>
          <w:bCs/>
          <w:kern w:val="0"/>
          <w:sz w:val="24"/>
          <w:szCs w:val="24"/>
        </w:rPr>
        <w:t>”号的条款为实质性要求，不接受负偏离，否则作为无效文件。如有疑问请与采购单位联系。）</w:t>
      </w:r>
      <w:r>
        <w:rPr>
          <w:rFonts w:hint="eastAsia" w:ascii="宋体"/>
          <w:b/>
          <w:sz w:val="24"/>
          <w:szCs w:val="24"/>
        </w:rPr>
        <w:t>十二、</w:t>
      </w:r>
      <w:r>
        <w:rPr>
          <w:rFonts w:ascii="宋体" w:hAnsi="宋体" w:cs="宋体"/>
          <w:b/>
          <w:sz w:val="24"/>
          <w:szCs w:val="24"/>
        </w:rPr>
        <w:t>合同草案条款：</w:t>
      </w:r>
    </w:p>
    <w:p>
      <w:pPr>
        <w:spacing w:line="360" w:lineRule="auto"/>
        <w:rPr>
          <w:rFonts w:ascii="宋体" w:hAnsi="宋体" w:cs="宋体"/>
          <w:sz w:val="24"/>
          <w:szCs w:val="24"/>
        </w:rPr>
      </w:pPr>
    </w:p>
    <w:p>
      <w:pPr>
        <w:widowControl/>
        <w:snapToGrid w:val="0"/>
        <w:spacing w:line="360" w:lineRule="auto"/>
        <w:ind w:firstLine="883" w:firstLineChars="200"/>
        <w:jc w:val="center"/>
        <w:rPr>
          <w:rFonts w:ascii="宋体" w:hAnsi="宋体"/>
          <w:b/>
          <w:sz w:val="24"/>
          <w:szCs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szCs w:val="24"/>
          <w:u w:val="single"/>
        </w:rPr>
      </w:pPr>
      <w:bookmarkStart w:id="6" w:name="hetongStart"/>
      <w:bookmarkEnd w:id="6"/>
      <w:r>
        <w:rPr>
          <w:rFonts w:hint="eastAsia" w:ascii="宋体" w:hAnsi="宋体"/>
          <w:sz w:val="24"/>
          <w:szCs w:val="24"/>
        </w:rPr>
        <w:t>甲方:</w:t>
      </w:r>
      <w:bookmarkStart w:id="7" w:name="purchase_start"/>
      <w:bookmarkEnd w:id="7"/>
      <w:bookmarkStart w:id="8" w:name="purchase_name"/>
      <w:bookmarkEnd w:id="8"/>
      <w:r>
        <w:rPr>
          <w:rFonts w:hint="eastAsia" w:ascii="宋体" w:hAnsi="宋体"/>
          <w:sz w:val="24"/>
          <w:szCs w:val="24"/>
        </w:rPr>
        <w:t xml:space="preserve"> 江苏开放大学 </w:t>
      </w:r>
      <w:bookmarkStart w:id="9" w:name="purchase_end"/>
      <w:bookmarkEnd w:id="9"/>
    </w:p>
    <w:p>
      <w:pPr>
        <w:widowControl/>
        <w:snapToGrid w:val="0"/>
        <w:spacing w:before="19" w:line="360" w:lineRule="auto"/>
        <w:rPr>
          <w:rFonts w:ascii="宋体" w:hAnsi="宋体"/>
          <w:sz w:val="24"/>
          <w:szCs w:val="24"/>
          <w:u w:val="single"/>
        </w:rPr>
      </w:pPr>
      <w:r>
        <w:rPr>
          <w:rFonts w:hint="eastAsia" w:ascii="宋体" w:hAnsi="宋体"/>
          <w:sz w:val="24"/>
          <w:szCs w:val="24"/>
        </w:rPr>
        <w:t>乙方:</w:t>
      </w:r>
      <w:bookmarkStart w:id="10" w:name="suppliers_name"/>
      <w:bookmarkEnd w:id="10"/>
    </w:p>
    <w:p>
      <w:pPr>
        <w:widowControl/>
        <w:snapToGrid w:val="0"/>
        <w:spacing w:before="19" w:line="360" w:lineRule="auto"/>
        <w:ind w:firstLine="600"/>
        <w:rPr>
          <w:rFonts w:ascii="宋体" w:hAnsi="宋体"/>
          <w:sz w:val="24"/>
          <w:szCs w:val="24"/>
        </w:rPr>
      </w:pPr>
      <w:r>
        <w:rPr>
          <w:rFonts w:hint="eastAsia" w:ascii="宋体" w:hAnsi="宋体"/>
          <w:sz w:val="24"/>
          <w:szCs w:val="24"/>
        </w:rPr>
        <w:t>甲乙双方根据采购编号的项目</w:t>
      </w:r>
      <w:r>
        <w:rPr>
          <w:rFonts w:hint="eastAsia" w:ascii="宋体" w:hAnsi="宋体" w:cs="宋体"/>
          <w:sz w:val="24"/>
          <w:szCs w:val="24"/>
          <w:u w:val="single"/>
        </w:rPr>
        <w:t>校内网上公示</w:t>
      </w:r>
      <w:r>
        <w:rPr>
          <w:rFonts w:hint="eastAsia" w:ascii="宋体" w:hAnsi="宋体"/>
          <w:sz w:val="24"/>
          <w:szCs w:val="24"/>
        </w:rPr>
        <w:t>采购结果及采购文件的要求,经协商一致,达成如下货物购销合同:</w:t>
      </w:r>
    </w:p>
    <w:p>
      <w:pPr>
        <w:widowControl/>
        <w:snapToGrid w:val="0"/>
        <w:spacing w:before="19" w:line="360" w:lineRule="auto"/>
        <w:ind w:firstLine="600"/>
        <w:rPr>
          <w:rFonts w:ascii="宋体" w:hAnsi="宋体"/>
          <w:sz w:val="24"/>
          <w:szCs w:val="24"/>
        </w:rPr>
      </w:pPr>
      <w:r>
        <w:rPr>
          <w:rFonts w:hint="eastAsia" w:ascii="宋体" w:hAnsi="宋体"/>
          <w:sz w:val="24"/>
          <w:szCs w:val="24"/>
        </w:rPr>
        <w:t>一、</w:t>
      </w:r>
      <w:r>
        <w:rPr>
          <w:rFonts w:hint="eastAsia" w:ascii="宋体" w:hAnsi="宋体"/>
          <w:b/>
          <w:bCs/>
          <w:sz w:val="24"/>
          <w:szCs w:val="24"/>
        </w:rPr>
        <w:t>货物及其数量、金额等</w:t>
      </w:r>
    </w:p>
    <w:tbl>
      <w:tblPr>
        <w:tblStyle w:val="48"/>
        <w:tblW w:w="8532" w:type="dxa"/>
        <w:jc w:val="center"/>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1125" w:type="dxa"/>
            <w:gridSpan w:val="2"/>
            <w:vAlign w:val="center"/>
          </w:tcPr>
          <w:p>
            <w:pPr>
              <w:spacing w:line="360" w:lineRule="auto"/>
              <w:jc w:val="center"/>
              <w:rPr>
                <w:rFonts w:ascii="宋体" w:hAnsi="宋体"/>
                <w:sz w:val="24"/>
                <w:szCs w:val="24"/>
              </w:rPr>
            </w:pPr>
            <w:r>
              <w:rPr>
                <w:rFonts w:hint="eastAsia" w:ascii="宋体" w:hAnsi="宋体"/>
                <w:sz w:val="24"/>
                <w:szCs w:val="24"/>
              </w:rPr>
              <w:t>项目名称</w:t>
            </w:r>
          </w:p>
        </w:tc>
        <w:tc>
          <w:tcPr>
            <w:tcW w:w="1620" w:type="dxa"/>
            <w:vAlign w:val="center"/>
          </w:tcPr>
          <w:p>
            <w:pPr>
              <w:spacing w:line="360" w:lineRule="auto"/>
              <w:jc w:val="center"/>
              <w:rPr>
                <w:rFonts w:ascii="宋体" w:hAnsi="宋体"/>
                <w:sz w:val="24"/>
                <w:szCs w:val="24"/>
              </w:rPr>
            </w:pPr>
            <w:r>
              <w:rPr>
                <w:rFonts w:hint="eastAsia" w:ascii="宋体" w:hAnsi="宋体"/>
                <w:sz w:val="24"/>
                <w:szCs w:val="24"/>
              </w:rPr>
              <w:t>规格型号</w:t>
            </w:r>
          </w:p>
        </w:tc>
        <w:tc>
          <w:tcPr>
            <w:tcW w:w="878" w:type="dxa"/>
            <w:vAlign w:val="center"/>
          </w:tcPr>
          <w:p>
            <w:pPr>
              <w:spacing w:line="360" w:lineRule="auto"/>
              <w:jc w:val="center"/>
              <w:rPr>
                <w:rFonts w:ascii="宋体" w:hAnsi="宋体"/>
                <w:sz w:val="24"/>
                <w:szCs w:val="24"/>
              </w:rPr>
            </w:pPr>
            <w:r>
              <w:rPr>
                <w:rFonts w:hint="eastAsia" w:ascii="宋体" w:hAnsi="宋体"/>
                <w:sz w:val="24"/>
                <w:szCs w:val="24"/>
              </w:rPr>
              <w:t>数量</w:t>
            </w:r>
          </w:p>
        </w:tc>
        <w:tc>
          <w:tcPr>
            <w:tcW w:w="1102" w:type="dxa"/>
            <w:vAlign w:val="center"/>
          </w:tcPr>
          <w:p>
            <w:pPr>
              <w:spacing w:line="360" w:lineRule="auto"/>
              <w:jc w:val="center"/>
              <w:rPr>
                <w:rFonts w:ascii="宋体" w:hAnsi="宋体"/>
                <w:sz w:val="24"/>
                <w:szCs w:val="24"/>
              </w:rPr>
            </w:pPr>
            <w:r>
              <w:rPr>
                <w:rFonts w:hint="eastAsia" w:ascii="宋体" w:hAnsi="宋体"/>
                <w:sz w:val="24"/>
                <w:szCs w:val="24"/>
              </w:rPr>
              <w:t>单价</w:t>
            </w:r>
          </w:p>
        </w:tc>
        <w:tc>
          <w:tcPr>
            <w:tcW w:w="1094"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总价</w:t>
            </w:r>
          </w:p>
        </w:tc>
        <w:tc>
          <w:tcPr>
            <w:tcW w:w="1090" w:type="dxa"/>
            <w:shd w:val="clear" w:color="auto" w:fill="auto"/>
            <w:vAlign w:val="center"/>
          </w:tcPr>
          <w:p>
            <w:pPr>
              <w:spacing w:line="360" w:lineRule="auto"/>
              <w:jc w:val="center"/>
              <w:rPr>
                <w:rFonts w:ascii="宋体" w:hAnsi="宋体"/>
                <w:sz w:val="24"/>
                <w:szCs w:val="24"/>
              </w:rPr>
            </w:pPr>
            <w:r>
              <w:rPr>
                <w:rFonts w:hint="eastAsia" w:ascii="宋体" w:hAnsi="宋体"/>
                <w:b/>
                <w:bCs/>
                <w:sz w:val="24"/>
                <w:szCs w:val="24"/>
              </w:rPr>
              <w:t>免费质保期</w:t>
            </w:r>
          </w:p>
        </w:tc>
        <w:tc>
          <w:tcPr>
            <w:tcW w:w="993"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8" w:hRule="atLeast"/>
          <w:jc w:val="center"/>
        </w:trPr>
        <w:tc>
          <w:tcPr>
            <w:tcW w:w="630" w:type="dxa"/>
            <w:shd w:val="clear" w:color="auto" w:fill="auto"/>
            <w:vAlign w:val="center"/>
          </w:tcPr>
          <w:p>
            <w:pPr>
              <w:spacing w:line="360" w:lineRule="auto"/>
              <w:jc w:val="center"/>
              <w:rPr>
                <w:rFonts w:ascii="宋体" w:hAnsi="宋体"/>
                <w:sz w:val="24"/>
                <w:szCs w:val="24"/>
              </w:rPr>
            </w:pPr>
            <w:bookmarkStart w:id="11" w:name="Ord_Seq_Name"/>
            <w:bookmarkEnd w:id="11"/>
            <w:r>
              <w:rPr>
                <w:rFonts w:hint="eastAsia" w:ascii="宋体" w:hAnsi="宋体"/>
                <w:sz w:val="24"/>
                <w:szCs w:val="24"/>
              </w:rPr>
              <w:t>1</w:t>
            </w:r>
          </w:p>
        </w:tc>
        <w:tc>
          <w:tcPr>
            <w:tcW w:w="1125" w:type="dxa"/>
            <w:gridSpan w:val="2"/>
            <w:vAlign w:val="center"/>
          </w:tcPr>
          <w:p>
            <w:pPr>
              <w:spacing w:line="360" w:lineRule="auto"/>
              <w:jc w:val="center"/>
              <w:rPr>
                <w:rFonts w:ascii="宋体" w:hAnsi="宋体"/>
                <w:sz w:val="24"/>
                <w:szCs w:val="24"/>
              </w:rPr>
            </w:pPr>
          </w:p>
        </w:tc>
        <w:tc>
          <w:tcPr>
            <w:tcW w:w="162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详见招标文件</w:t>
            </w:r>
          </w:p>
        </w:tc>
        <w:tc>
          <w:tcPr>
            <w:tcW w:w="878" w:type="dxa"/>
            <w:shd w:val="clear" w:color="auto" w:fill="auto"/>
            <w:vAlign w:val="center"/>
          </w:tcPr>
          <w:p>
            <w:pPr>
              <w:spacing w:line="360" w:lineRule="auto"/>
              <w:jc w:val="center"/>
              <w:rPr>
                <w:rFonts w:ascii="宋体" w:hAnsi="宋体"/>
                <w:sz w:val="24"/>
                <w:szCs w:val="24"/>
              </w:rPr>
            </w:pPr>
          </w:p>
        </w:tc>
        <w:tc>
          <w:tcPr>
            <w:tcW w:w="1102" w:type="dxa"/>
            <w:shd w:val="clear" w:color="auto" w:fill="auto"/>
            <w:vAlign w:val="center"/>
          </w:tcPr>
          <w:p>
            <w:pPr>
              <w:spacing w:line="360" w:lineRule="auto"/>
              <w:jc w:val="center"/>
              <w:rPr>
                <w:rFonts w:ascii="宋体" w:hAnsi="宋体"/>
                <w:sz w:val="24"/>
                <w:szCs w:val="24"/>
              </w:rPr>
            </w:pPr>
          </w:p>
        </w:tc>
        <w:tc>
          <w:tcPr>
            <w:tcW w:w="1094" w:type="dxa"/>
            <w:shd w:val="clear" w:color="auto" w:fill="auto"/>
            <w:vAlign w:val="center"/>
          </w:tcPr>
          <w:p>
            <w:pPr>
              <w:spacing w:line="360" w:lineRule="auto"/>
              <w:jc w:val="center"/>
              <w:rPr>
                <w:rFonts w:ascii="宋体" w:hAnsi="宋体"/>
                <w:sz w:val="24"/>
                <w:szCs w:val="24"/>
              </w:rPr>
            </w:pPr>
          </w:p>
        </w:tc>
        <w:tc>
          <w:tcPr>
            <w:tcW w:w="1090" w:type="dxa"/>
            <w:shd w:val="clear" w:color="auto" w:fill="auto"/>
            <w:vAlign w:val="center"/>
          </w:tcPr>
          <w:p>
            <w:pPr>
              <w:spacing w:line="360" w:lineRule="auto"/>
              <w:jc w:val="center"/>
              <w:rPr>
                <w:rFonts w:ascii="宋体" w:hAnsi="宋体"/>
                <w:sz w:val="24"/>
                <w:szCs w:val="24"/>
              </w:rPr>
            </w:pPr>
          </w:p>
        </w:tc>
        <w:tc>
          <w:tcPr>
            <w:tcW w:w="993" w:type="dxa"/>
            <w:shd w:val="clear" w:color="auto" w:fill="auto"/>
            <w:vAlign w:val="center"/>
          </w:tcPr>
          <w:p>
            <w:pPr>
              <w:spacing w:line="360" w:lineRule="auto"/>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2</w:t>
            </w:r>
          </w:p>
        </w:tc>
        <w:tc>
          <w:tcPr>
            <w:tcW w:w="1125" w:type="dxa"/>
            <w:gridSpan w:val="2"/>
            <w:vAlign w:val="center"/>
          </w:tcPr>
          <w:p>
            <w:pPr>
              <w:spacing w:line="360" w:lineRule="auto"/>
              <w:jc w:val="center"/>
              <w:rPr>
                <w:rFonts w:ascii="宋体" w:hAnsi="宋体"/>
                <w:sz w:val="24"/>
                <w:szCs w:val="24"/>
              </w:rPr>
            </w:pPr>
          </w:p>
        </w:tc>
        <w:tc>
          <w:tcPr>
            <w:tcW w:w="162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详见招标文件</w:t>
            </w:r>
          </w:p>
        </w:tc>
        <w:tc>
          <w:tcPr>
            <w:tcW w:w="878" w:type="dxa"/>
            <w:shd w:val="clear" w:color="auto" w:fill="auto"/>
            <w:vAlign w:val="center"/>
          </w:tcPr>
          <w:p>
            <w:pPr>
              <w:spacing w:line="360" w:lineRule="auto"/>
              <w:jc w:val="center"/>
              <w:rPr>
                <w:rFonts w:ascii="宋体" w:hAnsi="宋体"/>
                <w:sz w:val="24"/>
                <w:szCs w:val="24"/>
              </w:rPr>
            </w:pPr>
          </w:p>
        </w:tc>
        <w:tc>
          <w:tcPr>
            <w:tcW w:w="1102" w:type="dxa"/>
            <w:shd w:val="clear" w:color="auto" w:fill="auto"/>
            <w:vAlign w:val="center"/>
          </w:tcPr>
          <w:p>
            <w:pPr>
              <w:spacing w:line="360" w:lineRule="auto"/>
              <w:jc w:val="center"/>
              <w:rPr>
                <w:rFonts w:ascii="宋体" w:hAnsi="宋体"/>
                <w:sz w:val="24"/>
                <w:szCs w:val="24"/>
              </w:rPr>
            </w:pPr>
          </w:p>
        </w:tc>
        <w:tc>
          <w:tcPr>
            <w:tcW w:w="1094" w:type="dxa"/>
            <w:shd w:val="clear" w:color="auto" w:fill="auto"/>
            <w:vAlign w:val="center"/>
          </w:tcPr>
          <w:p>
            <w:pPr>
              <w:spacing w:line="360" w:lineRule="auto"/>
              <w:jc w:val="center"/>
              <w:rPr>
                <w:rFonts w:ascii="宋体" w:hAnsi="宋体"/>
                <w:sz w:val="24"/>
                <w:szCs w:val="24"/>
              </w:rPr>
            </w:pPr>
          </w:p>
        </w:tc>
        <w:tc>
          <w:tcPr>
            <w:tcW w:w="1090" w:type="dxa"/>
            <w:shd w:val="clear" w:color="auto" w:fill="auto"/>
            <w:vAlign w:val="center"/>
          </w:tcPr>
          <w:p>
            <w:pPr>
              <w:spacing w:line="360" w:lineRule="auto"/>
              <w:jc w:val="center"/>
              <w:rPr>
                <w:rFonts w:ascii="宋体" w:hAnsi="宋体"/>
                <w:sz w:val="24"/>
                <w:szCs w:val="24"/>
              </w:rPr>
            </w:pPr>
          </w:p>
        </w:tc>
        <w:tc>
          <w:tcPr>
            <w:tcW w:w="993" w:type="dxa"/>
            <w:shd w:val="clear" w:color="auto" w:fill="auto"/>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3</w:t>
            </w:r>
          </w:p>
        </w:tc>
        <w:tc>
          <w:tcPr>
            <w:tcW w:w="1125" w:type="dxa"/>
            <w:gridSpan w:val="2"/>
            <w:vAlign w:val="center"/>
          </w:tcPr>
          <w:p>
            <w:pPr>
              <w:spacing w:line="360" w:lineRule="auto"/>
              <w:jc w:val="center"/>
              <w:rPr>
                <w:rFonts w:ascii="宋体" w:hAnsi="宋体"/>
                <w:sz w:val="24"/>
                <w:szCs w:val="24"/>
              </w:rPr>
            </w:pPr>
          </w:p>
        </w:tc>
        <w:tc>
          <w:tcPr>
            <w:tcW w:w="1620" w:type="dxa"/>
            <w:shd w:val="clear" w:color="auto" w:fill="auto"/>
            <w:vAlign w:val="center"/>
          </w:tcPr>
          <w:p>
            <w:pPr>
              <w:spacing w:line="360" w:lineRule="auto"/>
              <w:jc w:val="center"/>
              <w:rPr>
                <w:rFonts w:ascii="宋体" w:hAnsi="宋体"/>
                <w:sz w:val="24"/>
                <w:szCs w:val="24"/>
              </w:rPr>
            </w:pPr>
          </w:p>
        </w:tc>
        <w:tc>
          <w:tcPr>
            <w:tcW w:w="878" w:type="dxa"/>
            <w:shd w:val="clear" w:color="auto" w:fill="auto"/>
            <w:vAlign w:val="center"/>
          </w:tcPr>
          <w:p>
            <w:pPr>
              <w:spacing w:line="360" w:lineRule="auto"/>
              <w:jc w:val="center"/>
              <w:rPr>
                <w:rFonts w:ascii="宋体" w:hAnsi="宋体"/>
                <w:sz w:val="24"/>
                <w:szCs w:val="24"/>
              </w:rPr>
            </w:pPr>
          </w:p>
        </w:tc>
        <w:tc>
          <w:tcPr>
            <w:tcW w:w="1102" w:type="dxa"/>
            <w:shd w:val="clear" w:color="auto" w:fill="auto"/>
            <w:vAlign w:val="center"/>
          </w:tcPr>
          <w:p>
            <w:pPr>
              <w:spacing w:line="360" w:lineRule="auto"/>
              <w:jc w:val="center"/>
              <w:rPr>
                <w:rFonts w:ascii="宋体" w:hAnsi="宋体"/>
                <w:sz w:val="24"/>
                <w:szCs w:val="24"/>
              </w:rPr>
            </w:pPr>
          </w:p>
        </w:tc>
        <w:tc>
          <w:tcPr>
            <w:tcW w:w="1094" w:type="dxa"/>
            <w:shd w:val="clear" w:color="auto" w:fill="auto"/>
            <w:vAlign w:val="center"/>
          </w:tcPr>
          <w:p>
            <w:pPr>
              <w:spacing w:line="360" w:lineRule="auto"/>
              <w:jc w:val="center"/>
              <w:rPr>
                <w:rFonts w:ascii="宋体" w:hAnsi="宋体"/>
                <w:sz w:val="24"/>
                <w:szCs w:val="24"/>
              </w:rPr>
            </w:pPr>
          </w:p>
        </w:tc>
        <w:tc>
          <w:tcPr>
            <w:tcW w:w="1090" w:type="dxa"/>
            <w:shd w:val="clear" w:color="auto" w:fill="auto"/>
            <w:vAlign w:val="center"/>
          </w:tcPr>
          <w:p>
            <w:pPr>
              <w:spacing w:line="360" w:lineRule="auto"/>
              <w:jc w:val="center"/>
              <w:rPr>
                <w:rFonts w:ascii="宋体" w:hAnsi="宋体"/>
                <w:sz w:val="24"/>
                <w:szCs w:val="24"/>
              </w:rPr>
            </w:pPr>
          </w:p>
        </w:tc>
        <w:tc>
          <w:tcPr>
            <w:tcW w:w="993" w:type="dxa"/>
            <w:shd w:val="clear" w:color="auto" w:fill="auto"/>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szCs w:val="24"/>
              </w:rPr>
            </w:pPr>
            <w:r>
              <w:rPr>
                <w:rFonts w:hint="eastAsia" w:ascii="宋体" w:hAnsi="宋体"/>
                <w:sz w:val="24"/>
                <w:szCs w:val="24"/>
              </w:rPr>
              <w:t>合同总金额：人民币（大写）元整。</w:t>
            </w:r>
          </w:p>
          <w:p>
            <w:pPr>
              <w:spacing w:line="360" w:lineRule="auto"/>
              <w:rPr>
                <w:rFonts w:ascii="宋体" w:hAnsi="宋体"/>
                <w:sz w:val="24"/>
                <w:szCs w:val="24"/>
                <w:u w:val="single"/>
              </w:rPr>
            </w:pPr>
            <w:r>
              <w:rPr>
                <w:rFonts w:hint="eastAsia" w:ascii="宋体" w:hAnsi="宋体"/>
                <w:sz w:val="24"/>
                <w:szCs w:val="24"/>
              </w:rPr>
              <w:t xml:space="preserve">                      ￥：</w:t>
            </w:r>
            <w:bookmarkStart w:id="12" w:name="Ppp_Amt_1"/>
            <w:bookmarkEnd w:id="12"/>
            <w:r>
              <w:rPr>
                <w:rFonts w:hint="eastAsia" w:ascii="宋体" w:hAnsi="宋体"/>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szCs w:val="24"/>
              </w:rPr>
            </w:pPr>
            <w:r>
              <w:rPr>
                <w:rFonts w:hint="eastAsia" w:ascii="宋体" w:hAnsi="宋体"/>
                <w:sz w:val="24"/>
                <w:szCs w:val="24"/>
              </w:rPr>
              <w:t>甲方</w:t>
            </w:r>
          </w:p>
        </w:tc>
        <w:tc>
          <w:tcPr>
            <w:tcW w:w="7317" w:type="dxa"/>
            <w:gridSpan w:val="7"/>
            <w:vAlign w:val="center"/>
          </w:tcPr>
          <w:p>
            <w:pPr>
              <w:spacing w:line="360" w:lineRule="auto"/>
              <w:rPr>
                <w:rFonts w:ascii="宋体" w:hAnsi="宋体"/>
                <w:sz w:val="24"/>
                <w:szCs w:val="24"/>
              </w:rPr>
            </w:pPr>
            <w:r>
              <w:rPr>
                <w:rFonts w:hint="eastAsia" w:ascii="宋体" w:hAnsi="宋体"/>
                <w:sz w:val="24"/>
                <w:szCs w:val="24"/>
              </w:rPr>
              <w:t>联系人：</w:t>
            </w:r>
            <w:bookmarkStart w:id="13" w:name="Cus_Usr"/>
            <w:bookmarkEnd w:id="13"/>
          </w:p>
          <w:p>
            <w:pPr>
              <w:spacing w:line="360" w:lineRule="auto"/>
              <w:rPr>
                <w:rFonts w:ascii="宋体" w:hAnsi="宋体"/>
                <w:sz w:val="24"/>
                <w:szCs w:val="24"/>
              </w:rPr>
            </w:pPr>
            <w:r>
              <w:rPr>
                <w:rFonts w:hint="eastAsia" w:ascii="宋体" w:hAnsi="宋体"/>
                <w:sz w:val="24"/>
                <w:szCs w:val="24"/>
              </w:rPr>
              <w:t>固定电话：</w:t>
            </w:r>
            <w:bookmarkStart w:id="14" w:name="Cus_Tel"/>
            <w:bookmarkEnd w:id="14"/>
            <w:r>
              <w:rPr>
                <w:rFonts w:hint="eastAsia" w:ascii="宋体" w:hAnsi="宋体"/>
                <w:sz w:val="24"/>
                <w:szCs w:val="24"/>
              </w:rPr>
              <w:t xml:space="preserve">       移动电话：</w:t>
            </w:r>
            <w:bookmarkStart w:id="15" w:name="Cus_Mob"/>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szCs w:val="24"/>
              </w:rPr>
            </w:pPr>
            <w:r>
              <w:rPr>
                <w:rFonts w:hint="eastAsia" w:ascii="宋体" w:hAnsi="宋体"/>
                <w:sz w:val="24"/>
                <w:szCs w:val="24"/>
              </w:rPr>
              <w:t>乙方</w:t>
            </w:r>
          </w:p>
        </w:tc>
        <w:tc>
          <w:tcPr>
            <w:tcW w:w="7317" w:type="dxa"/>
            <w:gridSpan w:val="7"/>
            <w:vAlign w:val="center"/>
          </w:tcPr>
          <w:p>
            <w:pPr>
              <w:spacing w:line="360" w:lineRule="auto"/>
              <w:rPr>
                <w:rFonts w:ascii="宋体" w:hAnsi="宋体"/>
                <w:sz w:val="24"/>
                <w:szCs w:val="24"/>
              </w:rPr>
            </w:pPr>
            <w:r>
              <w:rPr>
                <w:rFonts w:hint="eastAsia" w:ascii="宋体" w:hAnsi="宋体"/>
                <w:sz w:val="24"/>
                <w:szCs w:val="24"/>
              </w:rPr>
              <w:t xml:space="preserve">联系人： </w:t>
            </w:r>
            <w:bookmarkStart w:id="16" w:name="Spr_Usr"/>
            <w:bookmarkEnd w:id="16"/>
          </w:p>
          <w:p>
            <w:pPr>
              <w:spacing w:line="360" w:lineRule="auto"/>
              <w:rPr>
                <w:rFonts w:ascii="宋体" w:hAnsi="宋体"/>
                <w:sz w:val="24"/>
                <w:szCs w:val="24"/>
              </w:rPr>
            </w:pPr>
            <w:r>
              <w:rPr>
                <w:rFonts w:hint="eastAsia" w:ascii="宋体" w:hAnsi="宋体"/>
                <w:sz w:val="24"/>
                <w:szCs w:val="24"/>
              </w:rPr>
              <w:t>固定电话：</w:t>
            </w:r>
            <w:bookmarkStart w:id="17" w:name="Spr_Tel"/>
            <w:bookmarkEnd w:id="17"/>
            <w:r>
              <w:rPr>
                <w:rFonts w:hint="eastAsia" w:ascii="宋体" w:hAnsi="宋体"/>
                <w:sz w:val="24"/>
                <w:szCs w:val="24"/>
              </w:rPr>
              <w:t xml:space="preserve">       移动电话：</w:t>
            </w:r>
            <w:bookmarkStart w:id="18" w:name="Spr_Mob"/>
            <w:bookmarkEnd w:id="18"/>
          </w:p>
        </w:tc>
      </w:tr>
    </w:tbl>
    <w:p>
      <w:pPr>
        <w:widowControl/>
        <w:tabs>
          <w:tab w:val="left" w:pos="1980"/>
        </w:tabs>
        <w:snapToGrid w:val="0"/>
        <w:spacing w:before="19" w:line="360" w:lineRule="auto"/>
        <w:ind w:firstLine="480" w:firstLineChars="200"/>
        <w:rPr>
          <w:rFonts w:ascii="宋体" w:hAnsi="宋体"/>
          <w:b/>
          <w:bCs/>
          <w:sz w:val="24"/>
          <w:szCs w:val="24"/>
        </w:rPr>
      </w:pPr>
      <w:r>
        <w:rPr>
          <w:rFonts w:hint="eastAsia" w:ascii="宋体" w:hAnsi="宋体"/>
          <w:sz w:val="24"/>
          <w:szCs w:val="24"/>
        </w:rPr>
        <w:t>二</w:t>
      </w:r>
      <w:r>
        <w:rPr>
          <w:rFonts w:hint="eastAsia" w:ascii="宋体" w:hAnsi="宋体"/>
          <w:b/>
          <w:bCs/>
          <w:sz w:val="24"/>
          <w:szCs w:val="24"/>
        </w:rPr>
        <w:t xml:space="preserve">、交货地点： </w:t>
      </w:r>
      <w:bookmarkStart w:id="19" w:name="Con_Location"/>
      <w:bookmarkEnd w:id="19"/>
    </w:p>
    <w:p>
      <w:pPr>
        <w:widowControl/>
        <w:tabs>
          <w:tab w:val="left" w:pos="1980"/>
        </w:tabs>
        <w:snapToGrid w:val="0"/>
        <w:spacing w:before="19" w:line="360" w:lineRule="auto"/>
        <w:ind w:firstLine="482" w:firstLineChars="200"/>
        <w:rPr>
          <w:rFonts w:ascii="宋体" w:hAnsi="宋体" w:cs="宋体"/>
          <w:sz w:val="24"/>
          <w:szCs w:val="24"/>
        </w:rPr>
      </w:pPr>
      <w:r>
        <w:rPr>
          <w:rFonts w:hint="eastAsia" w:ascii="宋体" w:hAnsi="宋体"/>
          <w:b/>
          <w:bCs/>
          <w:sz w:val="24"/>
          <w:szCs w:val="24"/>
        </w:rPr>
        <w:t>三、验收</w:t>
      </w:r>
      <w:r>
        <w:rPr>
          <w:rFonts w:hint="eastAsia" w:ascii="宋体" w:hAnsi="宋体"/>
          <w:sz w:val="24"/>
          <w:szCs w:val="24"/>
        </w:rPr>
        <w:t>：甲方按询价文件相关要求进行。如需委托第三方验收，第三方是指：</w:t>
      </w:r>
      <w:r>
        <w:rPr>
          <w:rFonts w:hint="eastAsia" w:ascii="宋体" w:hAnsi="宋体"/>
          <w:sz w:val="24"/>
          <w:szCs w:val="24"/>
          <w:u w:val="single"/>
        </w:rPr>
        <w:t xml:space="preserve">      无       </w:t>
      </w:r>
      <w:r>
        <w:rPr>
          <w:rFonts w:hint="eastAsia" w:ascii="宋体" w:hAnsi="宋体"/>
          <w:sz w:val="24"/>
          <w:szCs w:val="24"/>
        </w:rPr>
        <w:t>，验收费用由甲方承担。</w:t>
      </w:r>
      <w:r>
        <w:rPr>
          <w:rFonts w:hint="eastAsia" w:ascii="宋体" w:hAnsi="宋体" w:cs="宋体"/>
          <w:sz w:val="24"/>
          <w:szCs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szCs w:val="24"/>
        </w:rPr>
      </w:pPr>
      <w:r>
        <w:rPr>
          <w:rFonts w:hint="eastAsia" w:ascii="宋体" w:hAnsi="宋体"/>
          <w:b/>
          <w:bCs/>
          <w:sz w:val="24"/>
          <w:szCs w:val="24"/>
        </w:rPr>
        <w:t>四、付款</w:t>
      </w:r>
      <w:r>
        <w:rPr>
          <w:rFonts w:hint="eastAsia" w:ascii="宋体" w:hAnsi="宋体"/>
          <w:sz w:val="24"/>
          <w:szCs w:val="24"/>
        </w:rPr>
        <w:t>：由甲方按下列程序付款。</w:t>
      </w:r>
    </w:p>
    <w:p>
      <w:pPr>
        <w:widowControl/>
        <w:snapToGrid w:val="0"/>
        <w:spacing w:before="19" w:line="360" w:lineRule="auto"/>
        <w:ind w:firstLine="480" w:firstLineChars="200"/>
        <w:rPr>
          <w:rFonts w:ascii="宋体" w:hAnsi="宋体" w:cs="宋体"/>
          <w:sz w:val="24"/>
          <w:szCs w:val="24"/>
        </w:rPr>
      </w:pPr>
      <w:r>
        <w:rPr>
          <w:rFonts w:hint="eastAsia" w:ascii="宋体" w:hAnsi="宋体" w:cs="宋体"/>
          <w:sz w:val="24"/>
          <w:szCs w:val="24"/>
        </w:rPr>
        <w:t>1、预付款：签订合同后，支付合同总价的</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snapToGrid w:val="0"/>
        <w:spacing w:before="19" w:line="360" w:lineRule="auto"/>
        <w:ind w:left="189" w:leftChars="90" w:firstLine="240" w:firstLineChars="100"/>
        <w:rPr>
          <w:rFonts w:ascii="宋体" w:hAnsi="宋体" w:cs="宋体"/>
          <w:sz w:val="24"/>
          <w:szCs w:val="24"/>
        </w:rPr>
      </w:pPr>
      <w:r>
        <w:rPr>
          <w:rFonts w:hint="eastAsia" w:ascii="宋体" w:hAnsi="宋体" w:cs="宋体"/>
          <w:sz w:val="24"/>
          <w:szCs w:val="24"/>
        </w:rPr>
        <w:t>2、货物运到采购人指定的地点，安装调试结束，经采购人验收合格，中标供应商提交所需单据后，支付合同总价的</w:t>
      </w:r>
      <w:r>
        <w:rPr>
          <w:rFonts w:hint="eastAsia" w:ascii="宋体" w:hAnsi="宋体" w:cs="宋体"/>
          <w:sz w:val="24"/>
          <w:szCs w:val="24"/>
          <w:u w:val="single"/>
        </w:rPr>
        <w:t xml:space="preserve">      %</w:t>
      </w:r>
      <w:r>
        <w:rPr>
          <w:rFonts w:hint="eastAsia" w:ascii="宋体" w:hAnsi="宋体" w:cs="宋体"/>
          <w:sz w:val="24"/>
          <w:szCs w:val="24"/>
        </w:rPr>
        <w:t>；</w:t>
      </w:r>
    </w:p>
    <w:p>
      <w:pPr>
        <w:widowControl/>
        <w:snapToGrid w:val="0"/>
        <w:spacing w:line="360" w:lineRule="auto"/>
        <w:ind w:firstLine="480" w:firstLineChars="200"/>
        <w:rPr>
          <w:rFonts w:ascii="宋体" w:hAnsi="宋体" w:cs="宋体"/>
          <w:sz w:val="24"/>
          <w:szCs w:val="24"/>
        </w:rPr>
      </w:pPr>
      <w:r>
        <w:rPr>
          <w:rFonts w:hint="eastAsia" w:ascii="宋体" w:hAnsi="宋体" w:cs="宋体"/>
          <w:sz w:val="24"/>
          <w:szCs w:val="24"/>
        </w:rPr>
        <w:t>3、第二次付款：质保期满后无质量问题付清尾款。</w:t>
      </w:r>
    </w:p>
    <w:p>
      <w:pPr>
        <w:widowControl/>
        <w:snapToGrid w:val="0"/>
        <w:spacing w:line="360" w:lineRule="auto"/>
        <w:ind w:firstLine="482" w:firstLineChars="200"/>
        <w:rPr>
          <w:rFonts w:ascii="宋体" w:hAnsi="宋体" w:cs="宋体"/>
          <w:sz w:val="24"/>
          <w:szCs w:val="24"/>
        </w:rPr>
      </w:pPr>
      <w:r>
        <w:rPr>
          <w:rFonts w:hint="eastAsia" w:ascii="宋体" w:hAnsi="宋体" w:cs="宋体"/>
          <w:b/>
          <w:sz w:val="24"/>
          <w:szCs w:val="24"/>
        </w:rPr>
        <w:t>五、履约保证金：</w:t>
      </w:r>
      <w:r>
        <w:rPr>
          <w:rFonts w:hint="eastAsia" w:ascii="宋体" w:hAnsi="宋体" w:cs="宋体"/>
          <w:sz w:val="24"/>
          <w:szCs w:val="24"/>
        </w:rPr>
        <w:t>按采购文件相关要求执行。</w:t>
      </w:r>
    </w:p>
    <w:p>
      <w:pPr>
        <w:widowControl/>
        <w:snapToGrid w:val="0"/>
        <w:spacing w:line="360" w:lineRule="auto"/>
        <w:ind w:firstLine="482" w:firstLineChars="200"/>
        <w:rPr>
          <w:rFonts w:ascii="宋体" w:hAnsi="宋体" w:cs="宋体"/>
          <w:sz w:val="24"/>
          <w:szCs w:val="24"/>
        </w:rPr>
      </w:pPr>
      <w:r>
        <w:rPr>
          <w:rFonts w:hint="eastAsia" w:ascii="宋体" w:hAnsi="宋体" w:cs="宋体"/>
          <w:b/>
          <w:sz w:val="24"/>
          <w:szCs w:val="24"/>
        </w:rPr>
        <w:t>六、合同纠纷处理：</w:t>
      </w:r>
      <w:r>
        <w:rPr>
          <w:rFonts w:hint="eastAsia" w:ascii="宋体" w:hAnsi="宋体" w:cs="宋体"/>
          <w:sz w:val="24"/>
          <w:szCs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szCs w:val="24"/>
        </w:rPr>
      </w:pPr>
      <w:r>
        <w:rPr>
          <w:rFonts w:hint="eastAsia" w:ascii="宋体" w:hAnsi="宋体" w:cs="宋体"/>
          <w:sz w:val="24"/>
          <w:szCs w:val="24"/>
        </w:rPr>
        <w:t>1、由甲乙双方协商处理。</w:t>
      </w:r>
    </w:p>
    <w:p>
      <w:pPr>
        <w:widowControl/>
        <w:tabs>
          <w:tab w:val="left" w:pos="1980"/>
        </w:tabs>
        <w:snapToGrid w:val="0"/>
        <w:spacing w:line="360" w:lineRule="auto"/>
        <w:ind w:firstLine="480" w:firstLineChars="200"/>
        <w:rPr>
          <w:rFonts w:ascii="宋体" w:hAnsi="宋体"/>
          <w:sz w:val="24"/>
          <w:szCs w:val="24"/>
        </w:rPr>
      </w:pPr>
      <w:r>
        <w:rPr>
          <w:rFonts w:hint="eastAsia" w:ascii="宋体" w:hAnsi="宋体"/>
          <w:sz w:val="24"/>
          <w:szCs w:val="24"/>
        </w:rPr>
        <w:t>2、申请仲裁。仲裁机构为南京市仲裁委员会。</w:t>
      </w:r>
    </w:p>
    <w:p>
      <w:pPr>
        <w:widowControl/>
        <w:tabs>
          <w:tab w:val="left" w:pos="1980"/>
        </w:tabs>
        <w:snapToGrid w:val="0"/>
        <w:spacing w:line="360" w:lineRule="auto"/>
        <w:ind w:firstLine="480" w:firstLineChars="200"/>
        <w:rPr>
          <w:rFonts w:ascii="宋体" w:hAnsi="宋体"/>
          <w:sz w:val="24"/>
          <w:szCs w:val="24"/>
        </w:rPr>
      </w:pPr>
      <w:r>
        <w:rPr>
          <w:rFonts w:hint="eastAsia" w:ascii="宋体" w:hAnsi="宋体"/>
          <w:sz w:val="24"/>
          <w:szCs w:val="24"/>
        </w:rPr>
        <w:t>3、提起诉讼。诉讼地点为采购人所在地。</w:t>
      </w:r>
    </w:p>
    <w:p>
      <w:pPr>
        <w:widowControl/>
        <w:snapToGrid w:val="0"/>
        <w:spacing w:before="19" w:line="360" w:lineRule="auto"/>
        <w:ind w:firstLine="482" w:firstLineChars="200"/>
        <w:rPr>
          <w:rFonts w:ascii="宋体" w:hAnsi="宋体"/>
          <w:sz w:val="24"/>
          <w:szCs w:val="24"/>
        </w:rPr>
      </w:pPr>
      <w:r>
        <w:rPr>
          <w:rFonts w:hint="eastAsia" w:ascii="宋体" w:hAnsi="宋体"/>
          <w:b/>
          <w:sz w:val="24"/>
          <w:szCs w:val="24"/>
        </w:rPr>
        <w:t>七、合同生效：</w:t>
      </w:r>
      <w:r>
        <w:rPr>
          <w:rFonts w:hint="eastAsia" w:ascii="宋体" w:hAnsi="宋体"/>
          <w:sz w:val="24"/>
          <w:szCs w:val="24"/>
        </w:rPr>
        <w:t>本合同由甲乙双方签字盖章后生效。</w:t>
      </w:r>
    </w:p>
    <w:p>
      <w:pPr>
        <w:widowControl/>
        <w:snapToGrid w:val="0"/>
        <w:spacing w:before="19" w:line="360" w:lineRule="auto"/>
        <w:ind w:firstLine="482" w:firstLineChars="200"/>
        <w:rPr>
          <w:rFonts w:ascii="宋体" w:hAnsi="宋体"/>
          <w:b/>
          <w:sz w:val="24"/>
          <w:szCs w:val="24"/>
        </w:rPr>
      </w:pPr>
      <w:r>
        <w:rPr>
          <w:rFonts w:hint="eastAsia" w:ascii="宋体" w:hAnsi="宋体"/>
          <w:b/>
          <w:sz w:val="24"/>
          <w:szCs w:val="24"/>
        </w:rPr>
        <w:t>八、合同鉴证</w:t>
      </w:r>
      <w:r>
        <w:rPr>
          <w:rFonts w:hint="eastAsia" w:ascii="宋体" w:hAnsi="宋体"/>
          <w:b/>
          <w:bCs/>
          <w:sz w:val="24"/>
          <w:szCs w:val="24"/>
        </w:rPr>
        <w:t>：</w:t>
      </w:r>
      <w:r>
        <w:rPr>
          <w:rFonts w:hint="eastAsia" w:ascii="宋体" w:hAnsi="宋体"/>
          <w:sz w:val="24"/>
          <w:szCs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szCs w:val="24"/>
        </w:rPr>
      </w:pPr>
      <w:r>
        <w:rPr>
          <w:rFonts w:hint="eastAsia" w:ascii="宋体" w:hAnsi="宋体"/>
          <w:b/>
          <w:sz w:val="24"/>
          <w:szCs w:val="24"/>
        </w:rPr>
        <w:t>九、组成本合同的文件包括：</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（一）合同通用条款和专用条款；</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（二）询价采购文件和乙方的</w:t>
      </w:r>
      <w:r>
        <w:rPr>
          <w:rFonts w:hint="eastAsia" w:ascii="宋体" w:hAnsi="宋体" w:cs="宋体"/>
          <w:bCs/>
          <w:sz w:val="24"/>
          <w:szCs w:val="24"/>
        </w:rPr>
        <w:t>投标</w:t>
      </w:r>
      <w:r>
        <w:rPr>
          <w:rFonts w:hint="eastAsia" w:ascii="宋体" w:hAnsi="宋体"/>
          <w:bCs/>
          <w:sz w:val="24"/>
          <w:szCs w:val="24"/>
        </w:rPr>
        <w:t>文件；</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（三）甲乙双方商定的其他必要文件。</w:t>
      </w:r>
    </w:p>
    <w:p>
      <w:pPr>
        <w:widowControl/>
        <w:snapToGrid w:val="0"/>
        <w:spacing w:before="19" w:line="360" w:lineRule="auto"/>
        <w:rPr>
          <w:rFonts w:ascii="宋体" w:hAnsi="宋体"/>
          <w:bCs/>
          <w:sz w:val="24"/>
          <w:szCs w:val="24"/>
        </w:rPr>
      </w:pPr>
      <w:r>
        <w:rPr>
          <w:rFonts w:hint="eastAsia" w:ascii="宋体" w:hAnsi="宋体"/>
          <w:bCs/>
          <w:sz w:val="24"/>
          <w:szCs w:val="24"/>
        </w:rPr>
        <w:t>上述合同文件内容互为补充，如有不明确，由甲方负责解释。</w:t>
      </w:r>
    </w:p>
    <w:p>
      <w:pPr>
        <w:widowControl/>
        <w:snapToGrid w:val="0"/>
        <w:spacing w:before="19" w:line="360" w:lineRule="auto"/>
        <w:ind w:firstLine="555"/>
        <w:rPr>
          <w:rFonts w:ascii="宋体" w:hAnsi="宋体"/>
          <w:b/>
          <w:bCs/>
          <w:sz w:val="24"/>
          <w:szCs w:val="24"/>
        </w:rPr>
      </w:pPr>
      <w:r>
        <w:rPr>
          <w:rFonts w:hint="eastAsia" w:ascii="宋体" w:hAnsi="宋体"/>
          <w:b/>
          <w:bCs/>
          <w:sz w:val="24"/>
          <w:szCs w:val="24"/>
        </w:rPr>
        <w:t>十、合同备案</w:t>
      </w:r>
    </w:p>
    <w:p>
      <w:pPr>
        <w:widowControl/>
        <w:snapToGrid w:val="0"/>
        <w:spacing w:before="19" w:line="360" w:lineRule="auto"/>
        <w:ind w:firstLine="480" w:firstLineChars="200"/>
        <w:rPr>
          <w:rFonts w:ascii="宋体" w:hAnsi="宋体"/>
          <w:bCs/>
          <w:sz w:val="24"/>
          <w:szCs w:val="24"/>
        </w:rPr>
      </w:pPr>
      <w:r>
        <w:rPr>
          <w:rFonts w:hint="eastAsia" w:ascii="宋体" w:hAnsi="宋体"/>
          <w:bCs/>
          <w:sz w:val="24"/>
          <w:szCs w:val="24"/>
        </w:rPr>
        <w:t>本合同一式叁份，中文书写。甲乙双方及甲方使用部门各执一份。</w:t>
      </w:r>
    </w:p>
    <w:p>
      <w:pPr>
        <w:widowControl/>
        <w:snapToGrid w:val="0"/>
        <w:spacing w:before="19" w:line="360" w:lineRule="auto"/>
        <w:rPr>
          <w:rFonts w:ascii="宋体" w:hAnsi="宋体"/>
          <w:b/>
          <w:sz w:val="24"/>
          <w:szCs w:val="24"/>
          <w:u w:val="single"/>
        </w:rPr>
      </w:pPr>
      <w:r>
        <w:rPr>
          <w:rFonts w:hint="eastAsia" w:ascii="宋体" w:hAnsi="宋体"/>
          <w:b/>
          <w:sz w:val="24"/>
          <w:szCs w:val="24"/>
        </w:rPr>
        <w:t xml:space="preserve">甲方： </w:t>
      </w:r>
      <w:bookmarkStart w:id="20" w:name="purchase_name_one"/>
      <w:bookmarkEnd w:id="20"/>
      <w:bookmarkStart w:id="21" w:name="purchase_one_start"/>
      <w:bookmarkEnd w:id="21"/>
      <w:r>
        <w:rPr>
          <w:rFonts w:hint="eastAsia" w:ascii="宋体" w:hAnsi="宋体"/>
          <w:b/>
          <w:sz w:val="24"/>
          <w:szCs w:val="24"/>
        </w:rPr>
        <w:t xml:space="preserve"> 江苏开放大学 </w:t>
      </w:r>
      <w:bookmarkStart w:id="22" w:name="purchase_one_end"/>
      <w:bookmarkEnd w:id="22"/>
      <w:r>
        <w:rPr>
          <w:rFonts w:hint="eastAsia" w:ascii="宋体" w:hAnsi="宋体"/>
          <w:b/>
          <w:sz w:val="24"/>
          <w:szCs w:val="24"/>
        </w:rPr>
        <w:t>（盖章）</w:t>
      </w:r>
    </w:p>
    <w:p>
      <w:pPr>
        <w:widowControl/>
        <w:snapToGrid w:val="0"/>
        <w:spacing w:before="19" w:line="360" w:lineRule="auto"/>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江东北路399号     </w:t>
      </w:r>
      <w:r>
        <w:rPr>
          <w:rFonts w:hint="eastAsia" w:ascii="宋体" w:hAnsi="宋体"/>
          <w:sz w:val="24"/>
          <w:szCs w:val="24"/>
        </w:rPr>
        <w:t xml:space="preserve"> 法定（授权）代表人：</w:t>
      </w:r>
    </w:p>
    <w:p>
      <w:pPr>
        <w:widowControl/>
        <w:snapToGrid w:val="0"/>
        <w:spacing w:before="19" w:line="360" w:lineRule="auto"/>
        <w:ind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 xml:space="preserve">月日 </w:t>
      </w:r>
    </w:p>
    <w:p>
      <w:pPr>
        <w:widowControl/>
        <w:snapToGrid w:val="0"/>
        <w:spacing w:before="19" w:line="360" w:lineRule="auto"/>
        <w:rPr>
          <w:rFonts w:ascii="宋体" w:hAnsi="宋体"/>
          <w:sz w:val="24"/>
          <w:szCs w:val="24"/>
        </w:rPr>
      </w:pPr>
      <w:r>
        <w:rPr>
          <w:rFonts w:hint="eastAsia" w:ascii="宋体" w:hAnsi="宋体"/>
          <w:b/>
          <w:sz w:val="24"/>
          <w:szCs w:val="24"/>
        </w:rPr>
        <w:t>乙方：</w:t>
      </w:r>
      <w:bookmarkStart w:id="23" w:name="suppliers_name_one"/>
      <w:bookmarkEnd w:id="23"/>
      <w:r>
        <w:rPr>
          <w:rFonts w:hint="eastAsia" w:ascii="宋体" w:hAnsi="宋体"/>
          <w:b/>
          <w:sz w:val="24"/>
          <w:szCs w:val="24"/>
        </w:rPr>
        <w:t xml:space="preserve">            （盖章）</w:t>
      </w:r>
    </w:p>
    <w:p>
      <w:pPr>
        <w:widowControl/>
        <w:snapToGrid w:val="0"/>
        <w:spacing w:before="19" w:line="360" w:lineRule="auto"/>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 法定（授权）代表人：</w:t>
      </w:r>
    </w:p>
    <w:p>
      <w:pPr>
        <w:widowControl/>
        <w:snapToGrid w:val="0"/>
        <w:spacing w:before="19" w:line="360" w:lineRule="auto"/>
        <w:ind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月日</w:t>
      </w:r>
    </w:p>
    <w:p>
      <w:pPr>
        <w:widowControl/>
        <w:snapToGrid w:val="0"/>
        <w:spacing w:before="19" w:line="360" w:lineRule="auto"/>
        <w:rPr>
          <w:rFonts w:ascii="宋体" w:hAnsi="宋体"/>
          <w:sz w:val="24"/>
          <w:szCs w:val="24"/>
        </w:rPr>
      </w:pPr>
      <w:r>
        <w:rPr>
          <w:rFonts w:hint="eastAsia" w:ascii="宋体" w:hAnsi="宋体"/>
          <w:sz w:val="24"/>
          <w:szCs w:val="24"/>
        </w:rPr>
        <w:t>户名：</w:t>
      </w:r>
    </w:p>
    <w:p>
      <w:pPr>
        <w:widowControl/>
        <w:snapToGrid w:val="0"/>
        <w:spacing w:before="19" w:line="360" w:lineRule="auto"/>
        <w:rPr>
          <w:rFonts w:ascii="宋体" w:hAnsi="宋体"/>
          <w:sz w:val="24"/>
          <w:szCs w:val="24"/>
        </w:rPr>
      </w:pPr>
      <w:r>
        <w:rPr>
          <w:rFonts w:hint="eastAsia" w:ascii="宋体" w:hAnsi="宋体"/>
          <w:sz w:val="24"/>
          <w:szCs w:val="24"/>
        </w:rPr>
        <w:t>开户银行：</w:t>
      </w:r>
    </w:p>
    <w:p>
      <w:pPr>
        <w:widowControl/>
        <w:snapToGrid w:val="0"/>
        <w:spacing w:before="19" w:line="360" w:lineRule="auto"/>
        <w:rPr>
          <w:rFonts w:ascii="宋体" w:hAnsi="宋体"/>
          <w:sz w:val="24"/>
          <w:szCs w:val="24"/>
        </w:rPr>
      </w:pPr>
      <w:r>
        <w:rPr>
          <w:rFonts w:hint="eastAsia" w:ascii="宋体" w:hAnsi="宋体"/>
          <w:sz w:val="24"/>
          <w:szCs w:val="24"/>
        </w:rPr>
        <w:t>帐号：</w:t>
      </w:r>
    </w:p>
    <w:p>
      <w:pPr>
        <w:widowControl/>
        <w:snapToGrid w:val="0"/>
        <w:spacing w:before="19" w:line="360" w:lineRule="auto"/>
        <w:ind w:firstLine="3360" w:firstLineChars="1400"/>
        <w:rPr>
          <w:rFonts w:ascii="宋体" w:hAnsi="宋体"/>
          <w:sz w:val="24"/>
          <w:szCs w:val="24"/>
        </w:rPr>
      </w:pPr>
      <w:r>
        <w:rPr>
          <w:rFonts w:hint="eastAsia" w:ascii="宋体" w:hAnsi="宋体"/>
          <w:sz w:val="24"/>
          <w:szCs w:val="24"/>
        </w:rPr>
        <w:t>二</w:t>
      </w:r>
      <w:r>
        <w:rPr>
          <w:rFonts w:hint="eastAsia" w:ascii="宋体" w:hAnsi="宋体" w:cs="宋体"/>
          <w:sz w:val="24"/>
          <w:szCs w:val="24"/>
        </w:rPr>
        <w:t>〇一</w:t>
      </w:r>
      <w:r>
        <w:rPr>
          <w:rFonts w:hint="eastAsia" w:ascii="宋体" w:hAnsi="宋体" w:cs="仿宋_GB2312"/>
          <w:sz w:val="24"/>
          <w:szCs w:val="24"/>
        </w:rPr>
        <w:t>年</w:t>
      </w:r>
      <w:r>
        <w:rPr>
          <w:rFonts w:hint="eastAsia" w:ascii="宋体" w:hAnsi="宋体"/>
          <w:sz w:val="24"/>
          <w:szCs w:val="24"/>
        </w:rPr>
        <w:t>月日</w:t>
      </w:r>
    </w:p>
    <w:p>
      <w:pPr>
        <w:widowControl/>
        <w:snapToGrid w:val="0"/>
        <w:spacing w:before="19" w:line="360" w:lineRule="auto"/>
        <w:ind w:firstLine="3360" w:firstLineChars="1400"/>
        <w:rPr>
          <w:rFonts w:ascii="宋体" w:hAnsi="宋体"/>
          <w:color w:val="FF0000"/>
          <w:sz w:val="24"/>
          <w:szCs w:val="24"/>
          <w:u w:val="single"/>
        </w:rPr>
      </w:pPr>
    </w:p>
    <w:sectPr>
      <w:footerReference r:id="rId4" w:type="first"/>
      <w:footerReference r:id="rId3" w:type="default"/>
      <w:pgSz w:w="11906" w:h="16838"/>
      <w:pgMar w:top="1418" w:right="1588" w:bottom="1418" w:left="1365" w:header="851" w:footer="907" w:gutter="0"/>
      <w:pgNumType w:fmt="decimalFullWidth" w:start="0"/>
      <w:cols w:space="425"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8"/>
    <w:family w:val="auto"/>
    <w:pitch w:val="default"/>
    <w:sig w:usb0="00000000" w:usb1="00000000" w:usb2="00000010" w:usb3="00000000" w:csb0="00140000" w:csb1="00000000"/>
  </w:font>
  <w:font w:name="方正黑体_GBK">
    <w:altName w:val="黑体"/>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rFonts w:hint="eastAsia"/>
        <w:lang w:val="zh-CN"/>
      </w:rPr>
      <w:t>２</w:t>
    </w:r>
    <w:r>
      <w:fldChar w:fldCharType="end"/>
    </w:r>
  </w:p>
  <w:p>
    <w:pPr>
      <w:pStyle w:val="29"/>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rPr>
        <w:rFonts w:hint="eastAsia"/>
        <w:lang w:val="zh-CN"/>
      </w:rPr>
      <w:t>０</w:t>
    </w:r>
    <w:r>
      <w:fldChar w:fldCharType="end"/>
    </w:r>
  </w:p>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06784D56"/>
    <w:lvl w:ilvl="0" w:tentative="0">
      <w:start w:val="1"/>
      <w:numFmt w:val="upperLetter"/>
      <w:pStyle w:val="54"/>
      <w:lvlText w:val="附录%1."/>
      <w:lvlJc w:val="left"/>
      <w:pPr>
        <w:tabs>
          <w:tab w:val="left" w:pos="907"/>
        </w:tabs>
        <w:ind w:left="907" w:hanging="907"/>
      </w:pPr>
      <w:rPr>
        <w:rFonts w:hint="eastAsia"/>
      </w:rPr>
    </w:lvl>
  </w:abstractNum>
  <w:abstractNum w:abstractNumId="1">
    <w:nsid w:val="420C153B"/>
    <w:multiLevelType w:val="multilevel"/>
    <w:tmpl w:val="420C153B"/>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8CB60A5"/>
    <w:multiLevelType w:val="singleLevel"/>
    <w:tmpl w:val="58CB60A5"/>
    <w:lvl w:ilvl="0" w:tentative="0">
      <w:start w:val="1"/>
      <w:numFmt w:val="decimal"/>
      <w:suff w:val="nothing"/>
      <w:lvlText w:val="%1、"/>
      <w:lvlJc w:val="left"/>
    </w:lvl>
  </w:abstractNum>
  <w:abstractNum w:abstractNumId="3">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hideSpellingErrors/>
  <w:attachedTemplate r:id="rId1"/>
  <w:documentProtection w:enforcement="0"/>
  <w:defaultTabStop w:val="425"/>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F1"/>
    <w:rsid w:val="00000E14"/>
    <w:rsid w:val="0000130D"/>
    <w:rsid w:val="000021F1"/>
    <w:rsid w:val="00004F9F"/>
    <w:rsid w:val="00005139"/>
    <w:rsid w:val="000060F7"/>
    <w:rsid w:val="000065F6"/>
    <w:rsid w:val="00006B61"/>
    <w:rsid w:val="00006BCB"/>
    <w:rsid w:val="00007315"/>
    <w:rsid w:val="00012B1C"/>
    <w:rsid w:val="0001609A"/>
    <w:rsid w:val="00016776"/>
    <w:rsid w:val="000177F1"/>
    <w:rsid w:val="00020B7C"/>
    <w:rsid w:val="00021067"/>
    <w:rsid w:val="00021BC0"/>
    <w:rsid w:val="00023FC6"/>
    <w:rsid w:val="000242A5"/>
    <w:rsid w:val="0002439F"/>
    <w:rsid w:val="00024E29"/>
    <w:rsid w:val="00026BBB"/>
    <w:rsid w:val="000270C3"/>
    <w:rsid w:val="000276E8"/>
    <w:rsid w:val="00027F43"/>
    <w:rsid w:val="0003068B"/>
    <w:rsid w:val="00031E43"/>
    <w:rsid w:val="000361A4"/>
    <w:rsid w:val="00036863"/>
    <w:rsid w:val="000440A4"/>
    <w:rsid w:val="00046B9E"/>
    <w:rsid w:val="0005153E"/>
    <w:rsid w:val="00053FB1"/>
    <w:rsid w:val="000544A7"/>
    <w:rsid w:val="00055BC4"/>
    <w:rsid w:val="00056AE9"/>
    <w:rsid w:val="00057ADA"/>
    <w:rsid w:val="0006121F"/>
    <w:rsid w:val="00062851"/>
    <w:rsid w:val="00063D55"/>
    <w:rsid w:val="0006657E"/>
    <w:rsid w:val="00066E0B"/>
    <w:rsid w:val="00070DEA"/>
    <w:rsid w:val="00071631"/>
    <w:rsid w:val="00073CD4"/>
    <w:rsid w:val="00076A17"/>
    <w:rsid w:val="000807B3"/>
    <w:rsid w:val="000824BA"/>
    <w:rsid w:val="00082989"/>
    <w:rsid w:val="00082C5C"/>
    <w:rsid w:val="00082F11"/>
    <w:rsid w:val="0008366C"/>
    <w:rsid w:val="000837A2"/>
    <w:rsid w:val="00084B83"/>
    <w:rsid w:val="00085AAC"/>
    <w:rsid w:val="00090BB5"/>
    <w:rsid w:val="00093236"/>
    <w:rsid w:val="00094CD5"/>
    <w:rsid w:val="000956B3"/>
    <w:rsid w:val="00096A17"/>
    <w:rsid w:val="000A2FC6"/>
    <w:rsid w:val="000A3BB8"/>
    <w:rsid w:val="000A41F7"/>
    <w:rsid w:val="000A429A"/>
    <w:rsid w:val="000A5684"/>
    <w:rsid w:val="000A6D6B"/>
    <w:rsid w:val="000B0462"/>
    <w:rsid w:val="000B1517"/>
    <w:rsid w:val="000B1F64"/>
    <w:rsid w:val="000B2881"/>
    <w:rsid w:val="000B7669"/>
    <w:rsid w:val="000C0CA5"/>
    <w:rsid w:val="000C1432"/>
    <w:rsid w:val="000C1440"/>
    <w:rsid w:val="000C3157"/>
    <w:rsid w:val="000C3B7F"/>
    <w:rsid w:val="000C4A8C"/>
    <w:rsid w:val="000C6DBE"/>
    <w:rsid w:val="000C7D2E"/>
    <w:rsid w:val="000D004D"/>
    <w:rsid w:val="000D12F6"/>
    <w:rsid w:val="000D1E38"/>
    <w:rsid w:val="000D1E74"/>
    <w:rsid w:val="000D24A9"/>
    <w:rsid w:val="000D3408"/>
    <w:rsid w:val="000D5CD6"/>
    <w:rsid w:val="000D640F"/>
    <w:rsid w:val="000D65C3"/>
    <w:rsid w:val="000D6F8A"/>
    <w:rsid w:val="000E0296"/>
    <w:rsid w:val="000E1348"/>
    <w:rsid w:val="000E4679"/>
    <w:rsid w:val="000E6362"/>
    <w:rsid w:val="000F17DF"/>
    <w:rsid w:val="000F1C96"/>
    <w:rsid w:val="000F299B"/>
    <w:rsid w:val="000F3822"/>
    <w:rsid w:val="000F5749"/>
    <w:rsid w:val="000F7AE6"/>
    <w:rsid w:val="00101213"/>
    <w:rsid w:val="0010432D"/>
    <w:rsid w:val="001062AB"/>
    <w:rsid w:val="00106524"/>
    <w:rsid w:val="00106600"/>
    <w:rsid w:val="00106A54"/>
    <w:rsid w:val="0011215E"/>
    <w:rsid w:val="00113C44"/>
    <w:rsid w:val="00115161"/>
    <w:rsid w:val="00115439"/>
    <w:rsid w:val="00116CC8"/>
    <w:rsid w:val="001209A8"/>
    <w:rsid w:val="00120B27"/>
    <w:rsid w:val="0012249E"/>
    <w:rsid w:val="0012335D"/>
    <w:rsid w:val="00126079"/>
    <w:rsid w:val="001265CB"/>
    <w:rsid w:val="00127C9A"/>
    <w:rsid w:val="00127CC7"/>
    <w:rsid w:val="001319A2"/>
    <w:rsid w:val="00132552"/>
    <w:rsid w:val="001331C3"/>
    <w:rsid w:val="00134C5A"/>
    <w:rsid w:val="00135483"/>
    <w:rsid w:val="00136201"/>
    <w:rsid w:val="00137C93"/>
    <w:rsid w:val="00137CF4"/>
    <w:rsid w:val="00140EA2"/>
    <w:rsid w:val="0014305A"/>
    <w:rsid w:val="00143AE7"/>
    <w:rsid w:val="00143FB2"/>
    <w:rsid w:val="0014483C"/>
    <w:rsid w:val="001462D7"/>
    <w:rsid w:val="001471B3"/>
    <w:rsid w:val="001474D5"/>
    <w:rsid w:val="00147B72"/>
    <w:rsid w:val="001501E4"/>
    <w:rsid w:val="00151BCA"/>
    <w:rsid w:val="0015339B"/>
    <w:rsid w:val="0015366A"/>
    <w:rsid w:val="001542EE"/>
    <w:rsid w:val="00154D56"/>
    <w:rsid w:val="00155193"/>
    <w:rsid w:val="001553EC"/>
    <w:rsid w:val="00155CB8"/>
    <w:rsid w:val="001569DC"/>
    <w:rsid w:val="00157965"/>
    <w:rsid w:val="00161885"/>
    <w:rsid w:val="00162263"/>
    <w:rsid w:val="0016255A"/>
    <w:rsid w:val="00163DB6"/>
    <w:rsid w:val="00163ED5"/>
    <w:rsid w:val="00164ABA"/>
    <w:rsid w:val="0016506B"/>
    <w:rsid w:val="00167A3A"/>
    <w:rsid w:val="00167B47"/>
    <w:rsid w:val="001705EF"/>
    <w:rsid w:val="0017062E"/>
    <w:rsid w:val="00170855"/>
    <w:rsid w:val="001752DD"/>
    <w:rsid w:val="001756C5"/>
    <w:rsid w:val="00180009"/>
    <w:rsid w:val="0018013C"/>
    <w:rsid w:val="00181408"/>
    <w:rsid w:val="00181731"/>
    <w:rsid w:val="00181970"/>
    <w:rsid w:val="0018206F"/>
    <w:rsid w:val="00182244"/>
    <w:rsid w:val="001829B2"/>
    <w:rsid w:val="00185B7D"/>
    <w:rsid w:val="001860E5"/>
    <w:rsid w:val="0018667B"/>
    <w:rsid w:val="00187756"/>
    <w:rsid w:val="00190412"/>
    <w:rsid w:val="001908A7"/>
    <w:rsid w:val="001909F8"/>
    <w:rsid w:val="001916EA"/>
    <w:rsid w:val="0019175E"/>
    <w:rsid w:val="00192491"/>
    <w:rsid w:val="0019270C"/>
    <w:rsid w:val="00193E4E"/>
    <w:rsid w:val="001943E8"/>
    <w:rsid w:val="00197156"/>
    <w:rsid w:val="00197325"/>
    <w:rsid w:val="001974E6"/>
    <w:rsid w:val="00197B96"/>
    <w:rsid w:val="001A0E67"/>
    <w:rsid w:val="001A0F57"/>
    <w:rsid w:val="001A121B"/>
    <w:rsid w:val="001A16F7"/>
    <w:rsid w:val="001A2797"/>
    <w:rsid w:val="001A5BDF"/>
    <w:rsid w:val="001A6AEE"/>
    <w:rsid w:val="001B2DEF"/>
    <w:rsid w:val="001B3D31"/>
    <w:rsid w:val="001B4457"/>
    <w:rsid w:val="001B7129"/>
    <w:rsid w:val="001B7E61"/>
    <w:rsid w:val="001C14B1"/>
    <w:rsid w:val="001C2FA0"/>
    <w:rsid w:val="001C5C56"/>
    <w:rsid w:val="001C5F27"/>
    <w:rsid w:val="001D01DB"/>
    <w:rsid w:val="001D1657"/>
    <w:rsid w:val="001D4A32"/>
    <w:rsid w:val="001D6B89"/>
    <w:rsid w:val="001D6E74"/>
    <w:rsid w:val="001D71B8"/>
    <w:rsid w:val="001E13DE"/>
    <w:rsid w:val="001E1981"/>
    <w:rsid w:val="001E2637"/>
    <w:rsid w:val="001E61A6"/>
    <w:rsid w:val="001E6359"/>
    <w:rsid w:val="001F110F"/>
    <w:rsid w:val="001F15A6"/>
    <w:rsid w:val="001F2972"/>
    <w:rsid w:val="001F37EA"/>
    <w:rsid w:val="001F3E1F"/>
    <w:rsid w:val="001F60B0"/>
    <w:rsid w:val="002015B0"/>
    <w:rsid w:val="00201E97"/>
    <w:rsid w:val="00203A07"/>
    <w:rsid w:val="00204C0A"/>
    <w:rsid w:val="00210ECA"/>
    <w:rsid w:val="002119D6"/>
    <w:rsid w:val="00211A2F"/>
    <w:rsid w:val="002139CB"/>
    <w:rsid w:val="00213E9A"/>
    <w:rsid w:val="00215C57"/>
    <w:rsid w:val="002173E8"/>
    <w:rsid w:val="00217582"/>
    <w:rsid w:val="002178D7"/>
    <w:rsid w:val="00217A24"/>
    <w:rsid w:val="00221D0E"/>
    <w:rsid w:val="00223B19"/>
    <w:rsid w:val="00225AFD"/>
    <w:rsid w:val="00230D01"/>
    <w:rsid w:val="00230D88"/>
    <w:rsid w:val="00233012"/>
    <w:rsid w:val="0023306F"/>
    <w:rsid w:val="002330E9"/>
    <w:rsid w:val="00234032"/>
    <w:rsid w:val="00236917"/>
    <w:rsid w:val="00241BB9"/>
    <w:rsid w:val="00243056"/>
    <w:rsid w:val="0024324A"/>
    <w:rsid w:val="002440FD"/>
    <w:rsid w:val="00244357"/>
    <w:rsid w:val="00244C9A"/>
    <w:rsid w:val="00244FFE"/>
    <w:rsid w:val="00247653"/>
    <w:rsid w:val="002561D3"/>
    <w:rsid w:val="00256269"/>
    <w:rsid w:val="00256659"/>
    <w:rsid w:val="00260723"/>
    <w:rsid w:val="002607A3"/>
    <w:rsid w:val="00262070"/>
    <w:rsid w:val="00262FF0"/>
    <w:rsid w:val="00264C0C"/>
    <w:rsid w:val="00264F84"/>
    <w:rsid w:val="002664E2"/>
    <w:rsid w:val="00266CED"/>
    <w:rsid w:val="0026701C"/>
    <w:rsid w:val="0027038C"/>
    <w:rsid w:val="0027505D"/>
    <w:rsid w:val="00275BD6"/>
    <w:rsid w:val="00276606"/>
    <w:rsid w:val="00281223"/>
    <w:rsid w:val="00281581"/>
    <w:rsid w:val="002834A3"/>
    <w:rsid w:val="002910ED"/>
    <w:rsid w:val="00291D3C"/>
    <w:rsid w:val="0029219F"/>
    <w:rsid w:val="00293C84"/>
    <w:rsid w:val="00293E8A"/>
    <w:rsid w:val="00296F36"/>
    <w:rsid w:val="002975CD"/>
    <w:rsid w:val="002975F4"/>
    <w:rsid w:val="002976E3"/>
    <w:rsid w:val="002A1D98"/>
    <w:rsid w:val="002A2F3B"/>
    <w:rsid w:val="002A2FE1"/>
    <w:rsid w:val="002A31C4"/>
    <w:rsid w:val="002A5A3D"/>
    <w:rsid w:val="002A5EB4"/>
    <w:rsid w:val="002B3493"/>
    <w:rsid w:val="002B3A14"/>
    <w:rsid w:val="002B5887"/>
    <w:rsid w:val="002B70DE"/>
    <w:rsid w:val="002B76C2"/>
    <w:rsid w:val="002B7C5D"/>
    <w:rsid w:val="002C0A38"/>
    <w:rsid w:val="002C14F9"/>
    <w:rsid w:val="002C57E1"/>
    <w:rsid w:val="002C5A53"/>
    <w:rsid w:val="002C5DC3"/>
    <w:rsid w:val="002C639D"/>
    <w:rsid w:val="002D03EF"/>
    <w:rsid w:val="002D1DBB"/>
    <w:rsid w:val="002D2360"/>
    <w:rsid w:val="002D255F"/>
    <w:rsid w:val="002D2D7E"/>
    <w:rsid w:val="002D337E"/>
    <w:rsid w:val="002D3F3F"/>
    <w:rsid w:val="002D5A0E"/>
    <w:rsid w:val="002D6427"/>
    <w:rsid w:val="002D7C63"/>
    <w:rsid w:val="002E0D36"/>
    <w:rsid w:val="002E1BAA"/>
    <w:rsid w:val="002E206A"/>
    <w:rsid w:val="002E32E7"/>
    <w:rsid w:val="002E7D17"/>
    <w:rsid w:val="002F0677"/>
    <w:rsid w:val="002F160B"/>
    <w:rsid w:val="002F39C9"/>
    <w:rsid w:val="002F5991"/>
    <w:rsid w:val="002F60F3"/>
    <w:rsid w:val="0030004D"/>
    <w:rsid w:val="00300268"/>
    <w:rsid w:val="003007C8"/>
    <w:rsid w:val="00300C46"/>
    <w:rsid w:val="00301121"/>
    <w:rsid w:val="00302384"/>
    <w:rsid w:val="0030300C"/>
    <w:rsid w:val="00303B22"/>
    <w:rsid w:val="00305902"/>
    <w:rsid w:val="00307833"/>
    <w:rsid w:val="00307D8B"/>
    <w:rsid w:val="003102E4"/>
    <w:rsid w:val="00311404"/>
    <w:rsid w:val="00311F7A"/>
    <w:rsid w:val="00313114"/>
    <w:rsid w:val="00314CE0"/>
    <w:rsid w:val="003161E0"/>
    <w:rsid w:val="00320AF9"/>
    <w:rsid w:val="0032284B"/>
    <w:rsid w:val="00322C31"/>
    <w:rsid w:val="0032383B"/>
    <w:rsid w:val="00324629"/>
    <w:rsid w:val="00324942"/>
    <w:rsid w:val="00325F10"/>
    <w:rsid w:val="00330E94"/>
    <w:rsid w:val="0033180A"/>
    <w:rsid w:val="00336F14"/>
    <w:rsid w:val="00340404"/>
    <w:rsid w:val="00341423"/>
    <w:rsid w:val="003414D5"/>
    <w:rsid w:val="00341B1F"/>
    <w:rsid w:val="00342232"/>
    <w:rsid w:val="00342F58"/>
    <w:rsid w:val="00344A42"/>
    <w:rsid w:val="00345847"/>
    <w:rsid w:val="00345904"/>
    <w:rsid w:val="00345CAA"/>
    <w:rsid w:val="003461F0"/>
    <w:rsid w:val="00346DB2"/>
    <w:rsid w:val="00351E99"/>
    <w:rsid w:val="00352805"/>
    <w:rsid w:val="00352E10"/>
    <w:rsid w:val="00354E9C"/>
    <w:rsid w:val="00361414"/>
    <w:rsid w:val="00361C35"/>
    <w:rsid w:val="0036323C"/>
    <w:rsid w:val="003637A9"/>
    <w:rsid w:val="003645A8"/>
    <w:rsid w:val="00364C10"/>
    <w:rsid w:val="00364D92"/>
    <w:rsid w:val="003651A8"/>
    <w:rsid w:val="0036697F"/>
    <w:rsid w:val="00370AD9"/>
    <w:rsid w:val="00370EE3"/>
    <w:rsid w:val="00371669"/>
    <w:rsid w:val="00374A1A"/>
    <w:rsid w:val="0037542D"/>
    <w:rsid w:val="003757DC"/>
    <w:rsid w:val="003757FE"/>
    <w:rsid w:val="00376BFC"/>
    <w:rsid w:val="00380344"/>
    <w:rsid w:val="003813A4"/>
    <w:rsid w:val="00381732"/>
    <w:rsid w:val="0038206F"/>
    <w:rsid w:val="00382C6A"/>
    <w:rsid w:val="00383877"/>
    <w:rsid w:val="0038424D"/>
    <w:rsid w:val="003847CE"/>
    <w:rsid w:val="00384B1E"/>
    <w:rsid w:val="00386BE7"/>
    <w:rsid w:val="00386DF4"/>
    <w:rsid w:val="00387841"/>
    <w:rsid w:val="00387E7E"/>
    <w:rsid w:val="00391A1F"/>
    <w:rsid w:val="003955A2"/>
    <w:rsid w:val="003A09F4"/>
    <w:rsid w:val="003A10F5"/>
    <w:rsid w:val="003A1A6E"/>
    <w:rsid w:val="003A3237"/>
    <w:rsid w:val="003A454B"/>
    <w:rsid w:val="003A4E67"/>
    <w:rsid w:val="003A5ED9"/>
    <w:rsid w:val="003A72E5"/>
    <w:rsid w:val="003B367D"/>
    <w:rsid w:val="003B3E7D"/>
    <w:rsid w:val="003B502D"/>
    <w:rsid w:val="003B559E"/>
    <w:rsid w:val="003B59D9"/>
    <w:rsid w:val="003B5D45"/>
    <w:rsid w:val="003B6284"/>
    <w:rsid w:val="003B6952"/>
    <w:rsid w:val="003C10DD"/>
    <w:rsid w:val="003C1190"/>
    <w:rsid w:val="003C1289"/>
    <w:rsid w:val="003C3300"/>
    <w:rsid w:val="003C3481"/>
    <w:rsid w:val="003C422D"/>
    <w:rsid w:val="003C4BD1"/>
    <w:rsid w:val="003C4E1C"/>
    <w:rsid w:val="003C59E2"/>
    <w:rsid w:val="003C5ABF"/>
    <w:rsid w:val="003D10D2"/>
    <w:rsid w:val="003D137A"/>
    <w:rsid w:val="003D1E45"/>
    <w:rsid w:val="003D300E"/>
    <w:rsid w:val="003D403C"/>
    <w:rsid w:val="003D430B"/>
    <w:rsid w:val="003D647D"/>
    <w:rsid w:val="003D7B1B"/>
    <w:rsid w:val="003E01CB"/>
    <w:rsid w:val="003E01D7"/>
    <w:rsid w:val="003E05D0"/>
    <w:rsid w:val="003E11C1"/>
    <w:rsid w:val="003E15AA"/>
    <w:rsid w:val="003E2BFA"/>
    <w:rsid w:val="003E46E0"/>
    <w:rsid w:val="003E5CA9"/>
    <w:rsid w:val="003E5F8D"/>
    <w:rsid w:val="003E71C6"/>
    <w:rsid w:val="003E744E"/>
    <w:rsid w:val="003E7467"/>
    <w:rsid w:val="003F0E5A"/>
    <w:rsid w:val="003F2F87"/>
    <w:rsid w:val="003F3D20"/>
    <w:rsid w:val="003F3D3D"/>
    <w:rsid w:val="003F4477"/>
    <w:rsid w:val="003F4A55"/>
    <w:rsid w:val="003F4FAB"/>
    <w:rsid w:val="003F5CA7"/>
    <w:rsid w:val="004007DB"/>
    <w:rsid w:val="00400C8B"/>
    <w:rsid w:val="004024F1"/>
    <w:rsid w:val="00403EE9"/>
    <w:rsid w:val="004043A2"/>
    <w:rsid w:val="00405121"/>
    <w:rsid w:val="0040648B"/>
    <w:rsid w:val="00407B95"/>
    <w:rsid w:val="0041079B"/>
    <w:rsid w:val="00410D40"/>
    <w:rsid w:val="00411141"/>
    <w:rsid w:val="0041263A"/>
    <w:rsid w:val="00412922"/>
    <w:rsid w:val="00412A51"/>
    <w:rsid w:val="00414707"/>
    <w:rsid w:val="0041492C"/>
    <w:rsid w:val="00414E62"/>
    <w:rsid w:val="0041561F"/>
    <w:rsid w:val="00416102"/>
    <w:rsid w:val="00416444"/>
    <w:rsid w:val="0041786D"/>
    <w:rsid w:val="00420ECB"/>
    <w:rsid w:val="0042200D"/>
    <w:rsid w:val="0042231C"/>
    <w:rsid w:val="00422355"/>
    <w:rsid w:val="00423691"/>
    <w:rsid w:val="004248EB"/>
    <w:rsid w:val="00426DC2"/>
    <w:rsid w:val="00427452"/>
    <w:rsid w:val="00427D01"/>
    <w:rsid w:val="00431297"/>
    <w:rsid w:val="00433227"/>
    <w:rsid w:val="00434521"/>
    <w:rsid w:val="00435338"/>
    <w:rsid w:val="00435C59"/>
    <w:rsid w:val="00436A23"/>
    <w:rsid w:val="00437768"/>
    <w:rsid w:val="00437A7F"/>
    <w:rsid w:val="00440C79"/>
    <w:rsid w:val="00441801"/>
    <w:rsid w:val="00441A24"/>
    <w:rsid w:val="00442C53"/>
    <w:rsid w:val="00443127"/>
    <w:rsid w:val="0044338F"/>
    <w:rsid w:val="00444AAB"/>
    <w:rsid w:val="00444E27"/>
    <w:rsid w:val="00445268"/>
    <w:rsid w:val="00445A89"/>
    <w:rsid w:val="00446354"/>
    <w:rsid w:val="004465C4"/>
    <w:rsid w:val="004467D3"/>
    <w:rsid w:val="0045218A"/>
    <w:rsid w:val="004541C8"/>
    <w:rsid w:val="0045494F"/>
    <w:rsid w:val="00455782"/>
    <w:rsid w:val="00457455"/>
    <w:rsid w:val="0046208D"/>
    <w:rsid w:val="004661EB"/>
    <w:rsid w:val="00466B9C"/>
    <w:rsid w:val="0047140D"/>
    <w:rsid w:val="00472192"/>
    <w:rsid w:val="00472FDE"/>
    <w:rsid w:val="00473F28"/>
    <w:rsid w:val="00474B80"/>
    <w:rsid w:val="00475C95"/>
    <w:rsid w:val="004765B6"/>
    <w:rsid w:val="00480252"/>
    <w:rsid w:val="00481BCD"/>
    <w:rsid w:val="0048224C"/>
    <w:rsid w:val="00482715"/>
    <w:rsid w:val="004832B5"/>
    <w:rsid w:val="004837DF"/>
    <w:rsid w:val="0049146C"/>
    <w:rsid w:val="00491A79"/>
    <w:rsid w:val="0049301E"/>
    <w:rsid w:val="004939DA"/>
    <w:rsid w:val="00494B59"/>
    <w:rsid w:val="00494C4F"/>
    <w:rsid w:val="00496AA1"/>
    <w:rsid w:val="00496B56"/>
    <w:rsid w:val="004A099A"/>
    <w:rsid w:val="004A4A16"/>
    <w:rsid w:val="004A5947"/>
    <w:rsid w:val="004A5A84"/>
    <w:rsid w:val="004A5B1A"/>
    <w:rsid w:val="004A5D95"/>
    <w:rsid w:val="004A7991"/>
    <w:rsid w:val="004A7C68"/>
    <w:rsid w:val="004B0612"/>
    <w:rsid w:val="004B0715"/>
    <w:rsid w:val="004B23E3"/>
    <w:rsid w:val="004B2C74"/>
    <w:rsid w:val="004B2EFC"/>
    <w:rsid w:val="004B47DA"/>
    <w:rsid w:val="004B4BBB"/>
    <w:rsid w:val="004B4D8D"/>
    <w:rsid w:val="004B4EFA"/>
    <w:rsid w:val="004B57E2"/>
    <w:rsid w:val="004B5E0A"/>
    <w:rsid w:val="004B642D"/>
    <w:rsid w:val="004B6BE7"/>
    <w:rsid w:val="004C0B05"/>
    <w:rsid w:val="004C1A8F"/>
    <w:rsid w:val="004C1D36"/>
    <w:rsid w:val="004C37E9"/>
    <w:rsid w:val="004C4882"/>
    <w:rsid w:val="004C513F"/>
    <w:rsid w:val="004C51B3"/>
    <w:rsid w:val="004C6730"/>
    <w:rsid w:val="004D139B"/>
    <w:rsid w:val="004D1559"/>
    <w:rsid w:val="004D21EC"/>
    <w:rsid w:val="004D2366"/>
    <w:rsid w:val="004D36A3"/>
    <w:rsid w:val="004D4636"/>
    <w:rsid w:val="004D510B"/>
    <w:rsid w:val="004D6B85"/>
    <w:rsid w:val="004E3520"/>
    <w:rsid w:val="004E4130"/>
    <w:rsid w:val="004E6338"/>
    <w:rsid w:val="004E6D99"/>
    <w:rsid w:val="004E6F8D"/>
    <w:rsid w:val="004F05B3"/>
    <w:rsid w:val="004F2C95"/>
    <w:rsid w:val="004F34A8"/>
    <w:rsid w:val="004F4AE0"/>
    <w:rsid w:val="004F526C"/>
    <w:rsid w:val="004F54BA"/>
    <w:rsid w:val="004F7B76"/>
    <w:rsid w:val="005000FE"/>
    <w:rsid w:val="00500D41"/>
    <w:rsid w:val="00502624"/>
    <w:rsid w:val="00503685"/>
    <w:rsid w:val="00504FB2"/>
    <w:rsid w:val="00506B42"/>
    <w:rsid w:val="005118AB"/>
    <w:rsid w:val="00512034"/>
    <w:rsid w:val="00512987"/>
    <w:rsid w:val="005142D5"/>
    <w:rsid w:val="00514D3A"/>
    <w:rsid w:val="00514F73"/>
    <w:rsid w:val="005261DE"/>
    <w:rsid w:val="00527347"/>
    <w:rsid w:val="00527C3A"/>
    <w:rsid w:val="00531C81"/>
    <w:rsid w:val="00532ED5"/>
    <w:rsid w:val="00533FB8"/>
    <w:rsid w:val="005340AF"/>
    <w:rsid w:val="00535A1C"/>
    <w:rsid w:val="005361E9"/>
    <w:rsid w:val="0054082E"/>
    <w:rsid w:val="0054132B"/>
    <w:rsid w:val="00541D5A"/>
    <w:rsid w:val="00542230"/>
    <w:rsid w:val="00542298"/>
    <w:rsid w:val="00542A4C"/>
    <w:rsid w:val="005448F9"/>
    <w:rsid w:val="00546111"/>
    <w:rsid w:val="0054631A"/>
    <w:rsid w:val="005474A7"/>
    <w:rsid w:val="00551078"/>
    <w:rsid w:val="005528D7"/>
    <w:rsid w:val="0055319A"/>
    <w:rsid w:val="00553A93"/>
    <w:rsid w:val="00553E41"/>
    <w:rsid w:val="00556ACF"/>
    <w:rsid w:val="00557A2E"/>
    <w:rsid w:val="005619A4"/>
    <w:rsid w:val="00563148"/>
    <w:rsid w:val="005634A0"/>
    <w:rsid w:val="00564925"/>
    <w:rsid w:val="00565404"/>
    <w:rsid w:val="005704A3"/>
    <w:rsid w:val="00570642"/>
    <w:rsid w:val="00570DA0"/>
    <w:rsid w:val="005715CC"/>
    <w:rsid w:val="00572AAC"/>
    <w:rsid w:val="00576136"/>
    <w:rsid w:val="005764D5"/>
    <w:rsid w:val="005765A1"/>
    <w:rsid w:val="00576A34"/>
    <w:rsid w:val="00577517"/>
    <w:rsid w:val="00580755"/>
    <w:rsid w:val="00580792"/>
    <w:rsid w:val="0058113B"/>
    <w:rsid w:val="00581334"/>
    <w:rsid w:val="00581CB0"/>
    <w:rsid w:val="00582386"/>
    <w:rsid w:val="00582A77"/>
    <w:rsid w:val="00583391"/>
    <w:rsid w:val="00583B02"/>
    <w:rsid w:val="00585AA3"/>
    <w:rsid w:val="00585B72"/>
    <w:rsid w:val="0058617A"/>
    <w:rsid w:val="0059199B"/>
    <w:rsid w:val="005930B9"/>
    <w:rsid w:val="00595052"/>
    <w:rsid w:val="00597A56"/>
    <w:rsid w:val="00597E69"/>
    <w:rsid w:val="005A01E4"/>
    <w:rsid w:val="005A0E90"/>
    <w:rsid w:val="005A1B17"/>
    <w:rsid w:val="005A26D5"/>
    <w:rsid w:val="005A5060"/>
    <w:rsid w:val="005A71B8"/>
    <w:rsid w:val="005B0841"/>
    <w:rsid w:val="005B1961"/>
    <w:rsid w:val="005B296B"/>
    <w:rsid w:val="005B2A20"/>
    <w:rsid w:val="005B317C"/>
    <w:rsid w:val="005B5728"/>
    <w:rsid w:val="005B6660"/>
    <w:rsid w:val="005B666F"/>
    <w:rsid w:val="005B6B13"/>
    <w:rsid w:val="005B713F"/>
    <w:rsid w:val="005B7546"/>
    <w:rsid w:val="005C1AC2"/>
    <w:rsid w:val="005C1C58"/>
    <w:rsid w:val="005C226F"/>
    <w:rsid w:val="005C3A52"/>
    <w:rsid w:val="005C3D21"/>
    <w:rsid w:val="005C4D70"/>
    <w:rsid w:val="005C54A5"/>
    <w:rsid w:val="005C5E1B"/>
    <w:rsid w:val="005C7F76"/>
    <w:rsid w:val="005D0E31"/>
    <w:rsid w:val="005D0FF6"/>
    <w:rsid w:val="005D1814"/>
    <w:rsid w:val="005D2582"/>
    <w:rsid w:val="005D2F4F"/>
    <w:rsid w:val="005D4D85"/>
    <w:rsid w:val="005D4F77"/>
    <w:rsid w:val="005D50E5"/>
    <w:rsid w:val="005D6EAC"/>
    <w:rsid w:val="005D74B4"/>
    <w:rsid w:val="005D78B5"/>
    <w:rsid w:val="005E041E"/>
    <w:rsid w:val="005E066A"/>
    <w:rsid w:val="005E08F0"/>
    <w:rsid w:val="005E209B"/>
    <w:rsid w:val="005E24FB"/>
    <w:rsid w:val="005E2853"/>
    <w:rsid w:val="005E3525"/>
    <w:rsid w:val="005E6190"/>
    <w:rsid w:val="005E6D04"/>
    <w:rsid w:val="005E711C"/>
    <w:rsid w:val="005E7538"/>
    <w:rsid w:val="005E78FF"/>
    <w:rsid w:val="005F1F14"/>
    <w:rsid w:val="005F2D59"/>
    <w:rsid w:val="005F38A2"/>
    <w:rsid w:val="005F4702"/>
    <w:rsid w:val="005F5906"/>
    <w:rsid w:val="005F5F5F"/>
    <w:rsid w:val="005F688B"/>
    <w:rsid w:val="00600EF7"/>
    <w:rsid w:val="006013D6"/>
    <w:rsid w:val="0060313A"/>
    <w:rsid w:val="00605458"/>
    <w:rsid w:val="00605737"/>
    <w:rsid w:val="0060612E"/>
    <w:rsid w:val="00606283"/>
    <w:rsid w:val="00606422"/>
    <w:rsid w:val="00610966"/>
    <w:rsid w:val="00611A6B"/>
    <w:rsid w:val="00611B75"/>
    <w:rsid w:val="00612785"/>
    <w:rsid w:val="00615124"/>
    <w:rsid w:val="00617A49"/>
    <w:rsid w:val="00617E8B"/>
    <w:rsid w:val="006225AB"/>
    <w:rsid w:val="00622D9D"/>
    <w:rsid w:val="0062494A"/>
    <w:rsid w:val="006253F1"/>
    <w:rsid w:val="006264B1"/>
    <w:rsid w:val="00630DAC"/>
    <w:rsid w:val="00630E1C"/>
    <w:rsid w:val="006319BA"/>
    <w:rsid w:val="00632EAE"/>
    <w:rsid w:val="00635980"/>
    <w:rsid w:val="00635F47"/>
    <w:rsid w:val="00636977"/>
    <w:rsid w:val="006377D7"/>
    <w:rsid w:val="00640359"/>
    <w:rsid w:val="0064259B"/>
    <w:rsid w:val="00642D9F"/>
    <w:rsid w:val="00643300"/>
    <w:rsid w:val="006435C5"/>
    <w:rsid w:val="006439B3"/>
    <w:rsid w:val="00643CB6"/>
    <w:rsid w:val="00643EB0"/>
    <w:rsid w:val="0064411E"/>
    <w:rsid w:val="00644909"/>
    <w:rsid w:val="00646034"/>
    <w:rsid w:val="006502FA"/>
    <w:rsid w:val="006519E4"/>
    <w:rsid w:val="00651B78"/>
    <w:rsid w:val="00651D3F"/>
    <w:rsid w:val="00651EDB"/>
    <w:rsid w:val="00653120"/>
    <w:rsid w:val="00653D99"/>
    <w:rsid w:val="00654444"/>
    <w:rsid w:val="00654E03"/>
    <w:rsid w:val="006578F1"/>
    <w:rsid w:val="006605C3"/>
    <w:rsid w:val="0066114E"/>
    <w:rsid w:val="00663932"/>
    <w:rsid w:val="006646FE"/>
    <w:rsid w:val="0066550E"/>
    <w:rsid w:val="006655F4"/>
    <w:rsid w:val="00670725"/>
    <w:rsid w:val="00671016"/>
    <w:rsid w:val="006717A6"/>
    <w:rsid w:val="00671C9E"/>
    <w:rsid w:val="006721A6"/>
    <w:rsid w:val="00672F92"/>
    <w:rsid w:val="006730DF"/>
    <w:rsid w:val="00673969"/>
    <w:rsid w:val="00674ACF"/>
    <w:rsid w:val="00674DA6"/>
    <w:rsid w:val="00674E96"/>
    <w:rsid w:val="00675047"/>
    <w:rsid w:val="006757A0"/>
    <w:rsid w:val="00677195"/>
    <w:rsid w:val="006772C1"/>
    <w:rsid w:val="006772C8"/>
    <w:rsid w:val="0068010E"/>
    <w:rsid w:val="006809A1"/>
    <w:rsid w:val="00681716"/>
    <w:rsid w:val="00681E38"/>
    <w:rsid w:val="00682057"/>
    <w:rsid w:val="00682B2A"/>
    <w:rsid w:val="00683073"/>
    <w:rsid w:val="00684434"/>
    <w:rsid w:val="0068470B"/>
    <w:rsid w:val="006852A3"/>
    <w:rsid w:val="00686340"/>
    <w:rsid w:val="006865A6"/>
    <w:rsid w:val="00687396"/>
    <w:rsid w:val="006926C2"/>
    <w:rsid w:val="0069416E"/>
    <w:rsid w:val="00694BB8"/>
    <w:rsid w:val="0069781E"/>
    <w:rsid w:val="00697A44"/>
    <w:rsid w:val="006A04A5"/>
    <w:rsid w:val="006A0505"/>
    <w:rsid w:val="006A40D6"/>
    <w:rsid w:val="006A46FB"/>
    <w:rsid w:val="006A51D7"/>
    <w:rsid w:val="006A6A8C"/>
    <w:rsid w:val="006B0405"/>
    <w:rsid w:val="006B0BFF"/>
    <w:rsid w:val="006B1F13"/>
    <w:rsid w:val="006B21C1"/>
    <w:rsid w:val="006B31B9"/>
    <w:rsid w:val="006B421E"/>
    <w:rsid w:val="006B4EED"/>
    <w:rsid w:val="006C08DF"/>
    <w:rsid w:val="006C2552"/>
    <w:rsid w:val="006C3AAD"/>
    <w:rsid w:val="006C4BEC"/>
    <w:rsid w:val="006C6A72"/>
    <w:rsid w:val="006C6DD8"/>
    <w:rsid w:val="006C78F9"/>
    <w:rsid w:val="006D3461"/>
    <w:rsid w:val="006D3599"/>
    <w:rsid w:val="006D3E42"/>
    <w:rsid w:val="006D4BF1"/>
    <w:rsid w:val="006E04C0"/>
    <w:rsid w:val="006E288A"/>
    <w:rsid w:val="006E4B96"/>
    <w:rsid w:val="006E4D99"/>
    <w:rsid w:val="006F11BC"/>
    <w:rsid w:val="006F2513"/>
    <w:rsid w:val="006F2C72"/>
    <w:rsid w:val="006F35F7"/>
    <w:rsid w:val="006F39A6"/>
    <w:rsid w:val="006F3A2A"/>
    <w:rsid w:val="006F3F3A"/>
    <w:rsid w:val="006F531B"/>
    <w:rsid w:val="006F603C"/>
    <w:rsid w:val="006F7164"/>
    <w:rsid w:val="007003F6"/>
    <w:rsid w:val="00700977"/>
    <w:rsid w:val="00700AB7"/>
    <w:rsid w:val="00700FBB"/>
    <w:rsid w:val="007018A5"/>
    <w:rsid w:val="007019DA"/>
    <w:rsid w:val="00703613"/>
    <w:rsid w:val="00703B69"/>
    <w:rsid w:val="0070457E"/>
    <w:rsid w:val="00707F7E"/>
    <w:rsid w:val="00707FF2"/>
    <w:rsid w:val="0071001E"/>
    <w:rsid w:val="00711682"/>
    <w:rsid w:val="00711CE3"/>
    <w:rsid w:val="00713650"/>
    <w:rsid w:val="007150B2"/>
    <w:rsid w:val="00716CB0"/>
    <w:rsid w:val="00717537"/>
    <w:rsid w:val="00720AAE"/>
    <w:rsid w:val="00723AD7"/>
    <w:rsid w:val="00732BF3"/>
    <w:rsid w:val="0073421F"/>
    <w:rsid w:val="00734AAC"/>
    <w:rsid w:val="00735827"/>
    <w:rsid w:val="0073782C"/>
    <w:rsid w:val="00740F5D"/>
    <w:rsid w:val="00741C57"/>
    <w:rsid w:val="0074243F"/>
    <w:rsid w:val="00742A78"/>
    <w:rsid w:val="0074342A"/>
    <w:rsid w:val="00743C52"/>
    <w:rsid w:val="00744352"/>
    <w:rsid w:val="0074612B"/>
    <w:rsid w:val="00747EEB"/>
    <w:rsid w:val="00750BCB"/>
    <w:rsid w:val="00751CC7"/>
    <w:rsid w:val="007526D9"/>
    <w:rsid w:val="007544E5"/>
    <w:rsid w:val="007565CD"/>
    <w:rsid w:val="00761B03"/>
    <w:rsid w:val="007621A5"/>
    <w:rsid w:val="00762D54"/>
    <w:rsid w:val="00762E7D"/>
    <w:rsid w:val="007656B3"/>
    <w:rsid w:val="00766122"/>
    <w:rsid w:val="00766753"/>
    <w:rsid w:val="00766F33"/>
    <w:rsid w:val="0077182E"/>
    <w:rsid w:val="007729B6"/>
    <w:rsid w:val="00775AB0"/>
    <w:rsid w:val="007772FF"/>
    <w:rsid w:val="0078081B"/>
    <w:rsid w:val="00782064"/>
    <w:rsid w:val="0078356B"/>
    <w:rsid w:val="00783A8D"/>
    <w:rsid w:val="00784550"/>
    <w:rsid w:val="0078497E"/>
    <w:rsid w:val="00784C9B"/>
    <w:rsid w:val="00785104"/>
    <w:rsid w:val="00785824"/>
    <w:rsid w:val="00785E00"/>
    <w:rsid w:val="0078681D"/>
    <w:rsid w:val="00787020"/>
    <w:rsid w:val="00790456"/>
    <w:rsid w:val="0079109E"/>
    <w:rsid w:val="00791200"/>
    <w:rsid w:val="007926F2"/>
    <w:rsid w:val="0079372E"/>
    <w:rsid w:val="00794F47"/>
    <w:rsid w:val="00795BCB"/>
    <w:rsid w:val="007970B0"/>
    <w:rsid w:val="00797649"/>
    <w:rsid w:val="007A0C69"/>
    <w:rsid w:val="007A6074"/>
    <w:rsid w:val="007A66DE"/>
    <w:rsid w:val="007A6C95"/>
    <w:rsid w:val="007A724A"/>
    <w:rsid w:val="007B0EFF"/>
    <w:rsid w:val="007B24F5"/>
    <w:rsid w:val="007B2D3C"/>
    <w:rsid w:val="007B330A"/>
    <w:rsid w:val="007B3392"/>
    <w:rsid w:val="007B3EE0"/>
    <w:rsid w:val="007B5192"/>
    <w:rsid w:val="007B5CFB"/>
    <w:rsid w:val="007B613E"/>
    <w:rsid w:val="007B71B5"/>
    <w:rsid w:val="007B792E"/>
    <w:rsid w:val="007C2FF3"/>
    <w:rsid w:val="007C6320"/>
    <w:rsid w:val="007C6419"/>
    <w:rsid w:val="007C691D"/>
    <w:rsid w:val="007D1BE6"/>
    <w:rsid w:val="007D57D4"/>
    <w:rsid w:val="007D7B4A"/>
    <w:rsid w:val="007D7F35"/>
    <w:rsid w:val="007E086A"/>
    <w:rsid w:val="007E0DC0"/>
    <w:rsid w:val="007E13A4"/>
    <w:rsid w:val="007E15B4"/>
    <w:rsid w:val="007E1AA9"/>
    <w:rsid w:val="007E219D"/>
    <w:rsid w:val="007E4057"/>
    <w:rsid w:val="007E4FD4"/>
    <w:rsid w:val="007E5F65"/>
    <w:rsid w:val="007E66DA"/>
    <w:rsid w:val="007E67F0"/>
    <w:rsid w:val="007F015D"/>
    <w:rsid w:val="007F0EF3"/>
    <w:rsid w:val="007F2F27"/>
    <w:rsid w:val="007F3565"/>
    <w:rsid w:val="007F3BFC"/>
    <w:rsid w:val="007F3CBF"/>
    <w:rsid w:val="007F3FF3"/>
    <w:rsid w:val="007F5B3A"/>
    <w:rsid w:val="007F61D0"/>
    <w:rsid w:val="007F762F"/>
    <w:rsid w:val="008006D8"/>
    <w:rsid w:val="00801A93"/>
    <w:rsid w:val="00804038"/>
    <w:rsid w:val="0080468F"/>
    <w:rsid w:val="00804FD1"/>
    <w:rsid w:val="00805308"/>
    <w:rsid w:val="00805348"/>
    <w:rsid w:val="00805771"/>
    <w:rsid w:val="00806934"/>
    <w:rsid w:val="00807832"/>
    <w:rsid w:val="00810A37"/>
    <w:rsid w:val="00810A8D"/>
    <w:rsid w:val="00810F19"/>
    <w:rsid w:val="00813641"/>
    <w:rsid w:val="00817230"/>
    <w:rsid w:val="0081736C"/>
    <w:rsid w:val="008179F9"/>
    <w:rsid w:val="00817EC4"/>
    <w:rsid w:val="00820DBF"/>
    <w:rsid w:val="00821B77"/>
    <w:rsid w:val="008220F7"/>
    <w:rsid w:val="00822AF1"/>
    <w:rsid w:val="008249BE"/>
    <w:rsid w:val="00824A0D"/>
    <w:rsid w:val="00824BC4"/>
    <w:rsid w:val="00824F16"/>
    <w:rsid w:val="00825E64"/>
    <w:rsid w:val="00826376"/>
    <w:rsid w:val="00827D04"/>
    <w:rsid w:val="00830B78"/>
    <w:rsid w:val="00831C73"/>
    <w:rsid w:val="00831ED5"/>
    <w:rsid w:val="0083559D"/>
    <w:rsid w:val="00836173"/>
    <w:rsid w:val="0083664C"/>
    <w:rsid w:val="00844726"/>
    <w:rsid w:val="00844D3B"/>
    <w:rsid w:val="008465A3"/>
    <w:rsid w:val="008473C8"/>
    <w:rsid w:val="00852DCA"/>
    <w:rsid w:val="00856B7C"/>
    <w:rsid w:val="008579BB"/>
    <w:rsid w:val="00860414"/>
    <w:rsid w:val="00861389"/>
    <w:rsid w:val="008618CB"/>
    <w:rsid w:val="00864E23"/>
    <w:rsid w:val="00866542"/>
    <w:rsid w:val="0086766F"/>
    <w:rsid w:val="00871A21"/>
    <w:rsid w:val="00873C3E"/>
    <w:rsid w:val="008746B5"/>
    <w:rsid w:val="008753E1"/>
    <w:rsid w:val="008808C2"/>
    <w:rsid w:val="008815CC"/>
    <w:rsid w:val="00881B34"/>
    <w:rsid w:val="0088225F"/>
    <w:rsid w:val="008832F8"/>
    <w:rsid w:val="00883F8F"/>
    <w:rsid w:val="00884380"/>
    <w:rsid w:val="008858D1"/>
    <w:rsid w:val="00885EA5"/>
    <w:rsid w:val="00886279"/>
    <w:rsid w:val="008870BB"/>
    <w:rsid w:val="00887A46"/>
    <w:rsid w:val="00892845"/>
    <w:rsid w:val="00892AFD"/>
    <w:rsid w:val="008931CC"/>
    <w:rsid w:val="0089490E"/>
    <w:rsid w:val="00897744"/>
    <w:rsid w:val="008A26E2"/>
    <w:rsid w:val="008A397D"/>
    <w:rsid w:val="008A3B40"/>
    <w:rsid w:val="008A4DAD"/>
    <w:rsid w:val="008A63E4"/>
    <w:rsid w:val="008B1D69"/>
    <w:rsid w:val="008B3D5C"/>
    <w:rsid w:val="008B6477"/>
    <w:rsid w:val="008B7BC9"/>
    <w:rsid w:val="008C08C2"/>
    <w:rsid w:val="008C1804"/>
    <w:rsid w:val="008C198F"/>
    <w:rsid w:val="008C207B"/>
    <w:rsid w:val="008C25C6"/>
    <w:rsid w:val="008C3DE4"/>
    <w:rsid w:val="008C4D0D"/>
    <w:rsid w:val="008C6625"/>
    <w:rsid w:val="008C7B2D"/>
    <w:rsid w:val="008D0E88"/>
    <w:rsid w:val="008D1585"/>
    <w:rsid w:val="008D1AF9"/>
    <w:rsid w:val="008D2978"/>
    <w:rsid w:val="008D3801"/>
    <w:rsid w:val="008D3D31"/>
    <w:rsid w:val="008D789D"/>
    <w:rsid w:val="008D7EF0"/>
    <w:rsid w:val="008E0215"/>
    <w:rsid w:val="008E0A1C"/>
    <w:rsid w:val="008E0E05"/>
    <w:rsid w:val="008E1AC0"/>
    <w:rsid w:val="008E1D72"/>
    <w:rsid w:val="008E369E"/>
    <w:rsid w:val="008E7CEA"/>
    <w:rsid w:val="008F0698"/>
    <w:rsid w:val="008F10B8"/>
    <w:rsid w:val="008F2A5D"/>
    <w:rsid w:val="008F412D"/>
    <w:rsid w:val="008F682E"/>
    <w:rsid w:val="008F6BD2"/>
    <w:rsid w:val="008F7B07"/>
    <w:rsid w:val="008F7B43"/>
    <w:rsid w:val="00900246"/>
    <w:rsid w:val="00900F66"/>
    <w:rsid w:val="00901C9E"/>
    <w:rsid w:val="00902060"/>
    <w:rsid w:val="00902A5B"/>
    <w:rsid w:val="00902D64"/>
    <w:rsid w:val="00904BE6"/>
    <w:rsid w:val="009076A7"/>
    <w:rsid w:val="00913FD2"/>
    <w:rsid w:val="00914E35"/>
    <w:rsid w:val="00916ECF"/>
    <w:rsid w:val="00917848"/>
    <w:rsid w:val="00917CFF"/>
    <w:rsid w:val="009205DA"/>
    <w:rsid w:val="00922583"/>
    <w:rsid w:val="00922D59"/>
    <w:rsid w:val="009231B3"/>
    <w:rsid w:val="0092395E"/>
    <w:rsid w:val="00924023"/>
    <w:rsid w:val="009307C6"/>
    <w:rsid w:val="009310EA"/>
    <w:rsid w:val="00931A83"/>
    <w:rsid w:val="0093330F"/>
    <w:rsid w:val="009336C7"/>
    <w:rsid w:val="009336D5"/>
    <w:rsid w:val="00934D29"/>
    <w:rsid w:val="009357E0"/>
    <w:rsid w:val="00937CAB"/>
    <w:rsid w:val="0094153D"/>
    <w:rsid w:val="009444E2"/>
    <w:rsid w:val="009450F7"/>
    <w:rsid w:val="009451FB"/>
    <w:rsid w:val="009476B7"/>
    <w:rsid w:val="00950791"/>
    <w:rsid w:val="00952F16"/>
    <w:rsid w:val="0095318A"/>
    <w:rsid w:val="00953603"/>
    <w:rsid w:val="00953D4F"/>
    <w:rsid w:val="00953D99"/>
    <w:rsid w:val="009540B3"/>
    <w:rsid w:val="00956122"/>
    <w:rsid w:val="009611DC"/>
    <w:rsid w:val="009614B9"/>
    <w:rsid w:val="00961B5B"/>
    <w:rsid w:val="00961C6D"/>
    <w:rsid w:val="009625BD"/>
    <w:rsid w:val="00962CB9"/>
    <w:rsid w:val="009657AC"/>
    <w:rsid w:val="00965AB4"/>
    <w:rsid w:val="00967A23"/>
    <w:rsid w:val="00967DCB"/>
    <w:rsid w:val="00967E3C"/>
    <w:rsid w:val="00970DDE"/>
    <w:rsid w:val="00972B53"/>
    <w:rsid w:val="00972BBD"/>
    <w:rsid w:val="00972BD7"/>
    <w:rsid w:val="009759EB"/>
    <w:rsid w:val="00976444"/>
    <w:rsid w:val="00977021"/>
    <w:rsid w:val="0098363F"/>
    <w:rsid w:val="00985049"/>
    <w:rsid w:val="00985097"/>
    <w:rsid w:val="0098525D"/>
    <w:rsid w:val="00987DCC"/>
    <w:rsid w:val="00990781"/>
    <w:rsid w:val="00990942"/>
    <w:rsid w:val="00990AD4"/>
    <w:rsid w:val="009911AA"/>
    <w:rsid w:val="009922DE"/>
    <w:rsid w:val="00992537"/>
    <w:rsid w:val="00992ABF"/>
    <w:rsid w:val="00994401"/>
    <w:rsid w:val="00994B08"/>
    <w:rsid w:val="00994BD6"/>
    <w:rsid w:val="0099727E"/>
    <w:rsid w:val="00997387"/>
    <w:rsid w:val="00997CB1"/>
    <w:rsid w:val="009A12C4"/>
    <w:rsid w:val="009A36A4"/>
    <w:rsid w:val="009A530D"/>
    <w:rsid w:val="009A6363"/>
    <w:rsid w:val="009A6DE9"/>
    <w:rsid w:val="009B07A4"/>
    <w:rsid w:val="009B0B41"/>
    <w:rsid w:val="009B1E73"/>
    <w:rsid w:val="009B5AFE"/>
    <w:rsid w:val="009B7A54"/>
    <w:rsid w:val="009C0036"/>
    <w:rsid w:val="009C0E3E"/>
    <w:rsid w:val="009C1580"/>
    <w:rsid w:val="009C2EB5"/>
    <w:rsid w:val="009C4A2D"/>
    <w:rsid w:val="009C5274"/>
    <w:rsid w:val="009C6772"/>
    <w:rsid w:val="009C79C1"/>
    <w:rsid w:val="009D1F82"/>
    <w:rsid w:val="009D2762"/>
    <w:rsid w:val="009D6543"/>
    <w:rsid w:val="009D75AF"/>
    <w:rsid w:val="009E040B"/>
    <w:rsid w:val="009E108F"/>
    <w:rsid w:val="009E12F9"/>
    <w:rsid w:val="009E181A"/>
    <w:rsid w:val="009E5265"/>
    <w:rsid w:val="009E6033"/>
    <w:rsid w:val="009E60CC"/>
    <w:rsid w:val="009E61D7"/>
    <w:rsid w:val="009E719F"/>
    <w:rsid w:val="009E7215"/>
    <w:rsid w:val="009F08E0"/>
    <w:rsid w:val="009F143B"/>
    <w:rsid w:val="009F1664"/>
    <w:rsid w:val="009F2F70"/>
    <w:rsid w:val="009F42A9"/>
    <w:rsid w:val="009F530F"/>
    <w:rsid w:val="00A02D07"/>
    <w:rsid w:val="00A052A2"/>
    <w:rsid w:val="00A05A8F"/>
    <w:rsid w:val="00A069F9"/>
    <w:rsid w:val="00A0798A"/>
    <w:rsid w:val="00A07AE0"/>
    <w:rsid w:val="00A10FED"/>
    <w:rsid w:val="00A116C5"/>
    <w:rsid w:val="00A13497"/>
    <w:rsid w:val="00A13AED"/>
    <w:rsid w:val="00A13D69"/>
    <w:rsid w:val="00A1420A"/>
    <w:rsid w:val="00A16F24"/>
    <w:rsid w:val="00A174FC"/>
    <w:rsid w:val="00A17718"/>
    <w:rsid w:val="00A177AD"/>
    <w:rsid w:val="00A17B4F"/>
    <w:rsid w:val="00A21B14"/>
    <w:rsid w:val="00A2253E"/>
    <w:rsid w:val="00A22A94"/>
    <w:rsid w:val="00A23EB4"/>
    <w:rsid w:val="00A254CF"/>
    <w:rsid w:val="00A25B0A"/>
    <w:rsid w:val="00A27FDA"/>
    <w:rsid w:val="00A317F5"/>
    <w:rsid w:val="00A32D44"/>
    <w:rsid w:val="00A33040"/>
    <w:rsid w:val="00A33C12"/>
    <w:rsid w:val="00A35638"/>
    <w:rsid w:val="00A3727B"/>
    <w:rsid w:val="00A3799A"/>
    <w:rsid w:val="00A416C3"/>
    <w:rsid w:val="00A438FE"/>
    <w:rsid w:val="00A4415C"/>
    <w:rsid w:val="00A45219"/>
    <w:rsid w:val="00A45793"/>
    <w:rsid w:val="00A46EE5"/>
    <w:rsid w:val="00A515A5"/>
    <w:rsid w:val="00A51940"/>
    <w:rsid w:val="00A52F59"/>
    <w:rsid w:val="00A5420C"/>
    <w:rsid w:val="00A545B6"/>
    <w:rsid w:val="00A54B60"/>
    <w:rsid w:val="00A54F53"/>
    <w:rsid w:val="00A551EE"/>
    <w:rsid w:val="00A554F2"/>
    <w:rsid w:val="00A55DAE"/>
    <w:rsid w:val="00A564BC"/>
    <w:rsid w:val="00A573FC"/>
    <w:rsid w:val="00A57474"/>
    <w:rsid w:val="00A5773C"/>
    <w:rsid w:val="00A57A14"/>
    <w:rsid w:val="00A60B81"/>
    <w:rsid w:val="00A627DD"/>
    <w:rsid w:val="00A62CBF"/>
    <w:rsid w:val="00A63510"/>
    <w:rsid w:val="00A64979"/>
    <w:rsid w:val="00A65037"/>
    <w:rsid w:val="00A672C9"/>
    <w:rsid w:val="00A6780D"/>
    <w:rsid w:val="00A70254"/>
    <w:rsid w:val="00A70686"/>
    <w:rsid w:val="00A719CB"/>
    <w:rsid w:val="00A71D22"/>
    <w:rsid w:val="00A72849"/>
    <w:rsid w:val="00A72ECD"/>
    <w:rsid w:val="00A73159"/>
    <w:rsid w:val="00A7400F"/>
    <w:rsid w:val="00A74FAB"/>
    <w:rsid w:val="00A751FA"/>
    <w:rsid w:val="00A77EA0"/>
    <w:rsid w:val="00A8123C"/>
    <w:rsid w:val="00A813A5"/>
    <w:rsid w:val="00A81744"/>
    <w:rsid w:val="00A81C12"/>
    <w:rsid w:val="00A81E36"/>
    <w:rsid w:val="00A8483F"/>
    <w:rsid w:val="00A85B77"/>
    <w:rsid w:val="00A85CB7"/>
    <w:rsid w:val="00A90378"/>
    <w:rsid w:val="00A9052B"/>
    <w:rsid w:val="00A911C5"/>
    <w:rsid w:val="00A92987"/>
    <w:rsid w:val="00A92DAF"/>
    <w:rsid w:val="00A932DB"/>
    <w:rsid w:val="00A97664"/>
    <w:rsid w:val="00AA1E45"/>
    <w:rsid w:val="00AA29B6"/>
    <w:rsid w:val="00AA37D6"/>
    <w:rsid w:val="00AA5269"/>
    <w:rsid w:val="00AA7EA9"/>
    <w:rsid w:val="00AB0801"/>
    <w:rsid w:val="00AB274F"/>
    <w:rsid w:val="00AB2B2D"/>
    <w:rsid w:val="00AB4886"/>
    <w:rsid w:val="00AB4E74"/>
    <w:rsid w:val="00AB4F39"/>
    <w:rsid w:val="00AB5F26"/>
    <w:rsid w:val="00AB6270"/>
    <w:rsid w:val="00AB6E95"/>
    <w:rsid w:val="00AB71D2"/>
    <w:rsid w:val="00AC198A"/>
    <w:rsid w:val="00AC6AA0"/>
    <w:rsid w:val="00AC6F7A"/>
    <w:rsid w:val="00AC6FC4"/>
    <w:rsid w:val="00AC779B"/>
    <w:rsid w:val="00AC7D3C"/>
    <w:rsid w:val="00AD0C62"/>
    <w:rsid w:val="00AD4439"/>
    <w:rsid w:val="00AD7206"/>
    <w:rsid w:val="00AD7E7D"/>
    <w:rsid w:val="00AE2971"/>
    <w:rsid w:val="00AE2AF0"/>
    <w:rsid w:val="00AE3657"/>
    <w:rsid w:val="00AE448C"/>
    <w:rsid w:val="00AE5977"/>
    <w:rsid w:val="00AE5C2B"/>
    <w:rsid w:val="00AE6164"/>
    <w:rsid w:val="00AE6616"/>
    <w:rsid w:val="00AE6F19"/>
    <w:rsid w:val="00AE7655"/>
    <w:rsid w:val="00AE78E8"/>
    <w:rsid w:val="00AF3979"/>
    <w:rsid w:val="00AF3C23"/>
    <w:rsid w:val="00AF5109"/>
    <w:rsid w:val="00AF532A"/>
    <w:rsid w:val="00AF53FF"/>
    <w:rsid w:val="00AF58B1"/>
    <w:rsid w:val="00AF6830"/>
    <w:rsid w:val="00AF7671"/>
    <w:rsid w:val="00B01B10"/>
    <w:rsid w:val="00B03663"/>
    <w:rsid w:val="00B04E8A"/>
    <w:rsid w:val="00B1067E"/>
    <w:rsid w:val="00B10B2B"/>
    <w:rsid w:val="00B16832"/>
    <w:rsid w:val="00B169D8"/>
    <w:rsid w:val="00B171C4"/>
    <w:rsid w:val="00B17262"/>
    <w:rsid w:val="00B22DE7"/>
    <w:rsid w:val="00B245AB"/>
    <w:rsid w:val="00B24A32"/>
    <w:rsid w:val="00B2583C"/>
    <w:rsid w:val="00B25AA0"/>
    <w:rsid w:val="00B25BAB"/>
    <w:rsid w:val="00B260BA"/>
    <w:rsid w:val="00B26136"/>
    <w:rsid w:val="00B26BE5"/>
    <w:rsid w:val="00B275CC"/>
    <w:rsid w:val="00B2769E"/>
    <w:rsid w:val="00B301A6"/>
    <w:rsid w:val="00B31CB8"/>
    <w:rsid w:val="00B31F85"/>
    <w:rsid w:val="00B3408E"/>
    <w:rsid w:val="00B35352"/>
    <w:rsid w:val="00B3537B"/>
    <w:rsid w:val="00B35DF2"/>
    <w:rsid w:val="00B35EE6"/>
    <w:rsid w:val="00B36FE3"/>
    <w:rsid w:val="00B379A0"/>
    <w:rsid w:val="00B37BD8"/>
    <w:rsid w:val="00B37C3B"/>
    <w:rsid w:val="00B42595"/>
    <w:rsid w:val="00B42A12"/>
    <w:rsid w:val="00B4386D"/>
    <w:rsid w:val="00B446F3"/>
    <w:rsid w:val="00B502CF"/>
    <w:rsid w:val="00B52F51"/>
    <w:rsid w:val="00B53B58"/>
    <w:rsid w:val="00B54AF8"/>
    <w:rsid w:val="00B552BB"/>
    <w:rsid w:val="00B55C65"/>
    <w:rsid w:val="00B56F2D"/>
    <w:rsid w:val="00B57615"/>
    <w:rsid w:val="00B618C4"/>
    <w:rsid w:val="00B62C7E"/>
    <w:rsid w:val="00B6330B"/>
    <w:rsid w:val="00B63F22"/>
    <w:rsid w:val="00B63F50"/>
    <w:rsid w:val="00B64363"/>
    <w:rsid w:val="00B65159"/>
    <w:rsid w:val="00B65E0D"/>
    <w:rsid w:val="00B66178"/>
    <w:rsid w:val="00B66358"/>
    <w:rsid w:val="00B66B46"/>
    <w:rsid w:val="00B66D0E"/>
    <w:rsid w:val="00B67007"/>
    <w:rsid w:val="00B701C5"/>
    <w:rsid w:val="00B7127A"/>
    <w:rsid w:val="00B718AC"/>
    <w:rsid w:val="00B71DD3"/>
    <w:rsid w:val="00B73A9F"/>
    <w:rsid w:val="00B746AF"/>
    <w:rsid w:val="00B8030E"/>
    <w:rsid w:val="00B809A0"/>
    <w:rsid w:val="00B80FF2"/>
    <w:rsid w:val="00B81E5B"/>
    <w:rsid w:val="00B82ED6"/>
    <w:rsid w:val="00B83205"/>
    <w:rsid w:val="00B849FF"/>
    <w:rsid w:val="00B86085"/>
    <w:rsid w:val="00B86B36"/>
    <w:rsid w:val="00B90992"/>
    <w:rsid w:val="00B9156A"/>
    <w:rsid w:val="00B928F9"/>
    <w:rsid w:val="00B92C78"/>
    <w:rsid w:val="00B937C3"/>
    <w:rsid w:val="00B938DC"/>
    <w:rsid w:val="00B93F55"/>
    <w:rsid w:val="00B95B1F"/>
    <w:rsid w:val="00B9689D"/>
    <w:rsid w:val="00B968AA"/>
    <w:rsid w:val="00B978E5"/>
    <w:rsid w:val="00BA23E5"/>
    <w:rsid w:val="00BA3CBD"/>
    <w:rsid w:val="00BA4130"/>
    <w:rsid w:val="00BA42CD"/>
    <w:rsid w:val="00BA60ED"/>
    <w:rsid w:val="00BB0203"/>
    <w:rsid w:val="00BB0753"/>
    <w:rsid w:val="00BB18F2"/>
    <w:rsid w:val="00BB2C25"/>
    <w:rsid w:val="00BB2F8B"/>
    <w:rsid w:val="00BB3CAB"/>
    <w:rsid w:val="00BB6A3A"/>
    <w:rsid w:val="00BC2661"/>
    <w:rsid w:val="00BC3ACB"/>
    <w:rsid w:val="00BC4133"/>
    <w:rsid w:val="00BC576C"/>
    <w:rsid w:val="00BC6287"/>
    <w:rsid w:val="00BD2B36"/>
    <w:rsid w:val="00BD3C91"/>
    <w:rsid w:val="00BD4B00"/>
    <w:rsid w:val="00BD6526"/>
    <w:rsid w:val="00BD7047"/>
    <w:rsid w:val="00BD79DD"/>
    <w:rsid w:val="00BE21DB"/>
    <w:rsid w:val="00BE343C"/>
    <w:rsid w:val="00BE40A8"/>
    <w:rsid w:val="00BE4440"/>
    <w:rsid w:val="00BE459E"/>
    <w:rsid w:val="00BE5E3F"/>
    <w:rsid w:val="00BE6765"/>
    <w:rsid w:val="00BE721E"/>
    <w:rsid w:val="00BF03A6"/>
    <w:rsid w:val="00BF06E2"/>
    <w:rsid w:val="00BF13F1"/>
    <w:rsid w:val="00BF14B5"/>
    <w:rsid w:val="00BF16A2"/>
    <w:rsid w:val="00BF21DC"/>
    <w:rsid w:val="00BF30A9"/>
    <w:rsid w:val="00BF3B89"/>
    <w:rsid w:val="00BF3F65"/>
    <w:rsid w:val="00BF3FCB"/>
    <w:rsid w:val="00BF6622"/>
    <w:rsid w:val="00BF7806"/>
    <w:rsid w:val="00BF7C94"/>
    <w:rsid w:val="00BF7F23"/>
    <w:rsid w:val="00BF7FE0"/>
    <w:rsid w:val="00C0056A"/>
    <w:rsid w:val="00C02987"/>
    <w:rsid w:val="00C038A6"/>
    <w:rsid w:val="00C102E5"/>
    <w:rsid w:val="00C116E6"/>
    <w:rsid w:val="00C11B62"/>
    <w:rsid w:val="00C13432"/>
    <w:rsid w:val="00C1372B"/>
    <w:rsid w:val="00C13B01"/>
    <w:rsid w:val="00C14773"/>
    <w:rsid w:val="00C163C2"/>
    <w:rsid w:val="00C170B7"/>
    <w:rsid w:val="00C209FA"/>
    <w:rsid w:val="00C21933"/>
    <w:rsid w:val="00C21F46"/>
    <w:rsid w:val="00C2244B"/>
    <w:rsid w:val="00C22796"/>
    <w:rsid w:val="00C22CFD"/>
    <w:rsid w:val="00C233A4"/>
    <w:rsid w:val="00C26D1F"/>
    <w:rsid w:val="00C302D0"/>
    <w:rsid w:val="00C319A5"/>
    <w:rsid w:val="00C34AAA"/>
    <w:rsid w:val="00C361FF"/>
    <w:rsid w:val="00C36535"/>
    <w:rsid w:val="00C3679E"/>
    <w:rsid w:val="00C42A82"/>
    <w:rsid w:val="00C42B1B"/>
    <w:rsid w:val="00C439B6"/>
    <w:rsid w:val="00C44736"/>
    <w:rsid w:val="00C458AC"/>
    <w:rsid w:val="00C46772"/>
    <w:rsid w:val="00C47053"/>
    <w:rsid w:val="00C47119"/>
    <w:rsid w:val="00C512B0"/>
    <w:rsid w:val="00C5319A"/>
    <w:rsid w:val="00C539E6"/>
    <w:rsid w:val="00C57D5C"/>
    <w:rsid w:val="00C57DB4"/>
    <w:rsid w:val="00C60B35"/>
    <w:rsid w:val="00C60ECA"/>
    <w:rsid w:val="00C62F3C"/>
    <w:rsid w:val="00C6304B"/>
    <w:rsid w:val="00C65365"/>
    <w:rsid w:val="00C65D18"/>
    <w:rsid w:val="00C67CFD"/>
    <w:rsid w:val="00C70B30"/>
    <w:rsid w:val="00C722C8"/>
    <w:rsid w:val="00C74005"/>
    <w:rsid w:val="00C74501"/>
    <w:rsid w:val="00C7629C"/>
    <w:rsid w:val="00C772B2"/>
    <w:rsid w:val="00C777BF"/>
    <w:rsid w:val="00C80ABC"/>
    <w:rsid w:val="00C8114B"/>
    <w:rsid w:val="00C8169D"/>
    <w:rsid w:val="00C81B29"/>
    <w:rsid w:val="00C86775"/>
    <w:rsid w:val="00C86C62"/>
    <w:rsid w:val="00C877E8"/>
    <w:rsid w:val="00C90398"/>
    <w:rsid w:val="00C9051A"/>
    <w:rsid w:val="00C9055C"/>
    <w:rsid w:val="00C90ECE"/>
    <w:rsid w:val="00C92701"/>
    <w:rsid w:val="00C92D92"/>
    <w:rsid w:val="00C93017"/>
    <w:rsid w:val="00C950E6"/>
    <w:rsid w:val="00C96354"/>
    <w:rsid w:val="00C9751B"/>
    <w:rsid w:val="00C97BF9"/>
    <w:rsid w:val="00CA0DCF"/>
    <w:rsid w:val="00CA1014"/>
    <w:rsid w:val="00CA1138"/>
    <w:rsid w:val="00CA46F9"/>
    <w:rsid w:val="00CA6FCC"/>
    <w:rsid w:val="00CB0854"/>
    <w:rsid w:val="00CB2283"/>
    <w:rsid w:val="00CB295A"/>
    <w:rsid w:val="00CB3106"/>
    <w:rsid w:val="00CB39AB"/>
    <w:rsid w:val="00CB4FAC"/>
    <w:rsid w:val="00CB5813"/>
    <w:rsid w:val="00CB727D"/>
    <w:rsid w:val="00CC0A9A"/>
    <w:rsid w:val="00CC38D7"/>
    <w:rsid w:val="00CC4110"/>
    <w:rsid w:val="00CC4E32"/>
    <w:rsid w:val="00CC5AEF"/>
    <w:rsid w:val="00CC5C60"/>
    <w:rsid w:val="00CD0808"/>
    <w:rsid w:val="00CD0B4A"/>
    <w:rsid w:val="00CD0BAF"/>
    <w:rsid w:val="00CD10EC"/>
    <w:rsid w:val="00CD2B6E"/>
    <w:rsid w:val="00CD3928"/>
    <w:rsid w:val="00CD3A22"/>
    <w:rsid w:val="00CD4DF5"/>
    <w:rsid w:val="00CE1E7F"/>
    <w:rsid w:val="00CE22B8"/>
    <w:rsid w:val="00CE3068"/>
    <w:rsid w:val="00CE54C2"/>
    <w:rsid w:val="00CE7CED"/>
    <w:rsid w:val="00CF21D5"/>
    <w:rsid w:val="00CF2417"/>
    <w:rsid w:val="00CF3162"/>
    <w:rsid w:val="00CF3D91"/>
    <w:rsid w:val="00CF40FC"/>
    <w:rsid w:val="00CF4460"/>
    <w:rsid w:val="00CF5FF6"/>
    <w:rsid w:val="00CF678B"/>
    <w:rsid w:val="00D00AF5"/>
    <w:rsid w:val="00D0129A"/>
    <w:rsid w:val="00D021FC"/>
    <w:rsid w:val="00D05012"/>
    <w:rsid w:val="00D0629A"/>
    <w:rsid w:val="00D07080"/>
    <w:rsid w:val="00D07106"/>
    <w:rsid w:val="00D10C0E"/>
    <w:rsid w:val="00D1601B"/>
    <w:rsid w:val="00D17568"/>
    <w:rsid w:val="00D20E60"/>
    <w:rsid w:val="00D2130A"/>
    <w:rsid w:val="00D223FC"/>
    <w:rsid w:val="00D23157"/>
    <w:rsid w:val="00D23991"/>
    <w:rsid w:val="00D24929"/>
    <w:rsid w:val="00D25267"/>
    <w:rsid w:val="00D26601"/>
    <w:rsid w:val="00D27B74"/>
    <w:rsid w:val="00D30E25"/>
    <w:rsid w:val="00D31598"/>
    <w:rsid w:val="00D32C72"/>
    <w:rsid w:val="00D33264"/>
    <w:rsid w:val="00D35630"/>
    <w:rsid w:val="00D360E8"/>
    <w:rsid w:val="00D37A1B"/>
    <w:rsid w:val="00D40ED6"/>
    <w:rsid w:val="00D42716"/>
    <w:rsid w:val="00D44E89"/>
    <w:rsid w:val="00D45970"/>
    <w:rsid w:val="00D45B4E"/>
    <w:rsid w:val="00D46EA2"/>
    <w:rsid w:val="00D5118F"/>
    <w:rsid w:val="00D529F8"/>
    <w:rsid w:val="00D555A5"/>
    <w:rsid w:val="00D5567B"/>
    <w:rsid w:val="00D55B3E"/>
    <w:rsid w:val="00D55C82"/>
    <w:rsid w:val="00D5645B"/>
    <w:rsid w:val="00D57171"/>
    <w:rsid w:val="00D66E21"/>
    <w:rsid w:val="00D679E6"/>
    <w:rsid w:val="00D70E63"/>
    <w:rsid w:val="00D724E9"/>
    <w:rsid w:val="00D72846"/>
    <w:rsid w:val="00D7540F"/>
    <w:rsid w:val="00D76F78"/>
    <w:rsid w:val="00D77F56"/>
    <w:rsid w:val="00D80E73"/>
    <w:rsid w:val="00D816E0"/>
    <w:rsid w:val="00D81A5D"/>
    <w:rsid w:val="00D8236C"/>
    <w:rsid w:val="00D830DC"/>
    <w:rsid w:val="00D830F9"/>
    <w:rsid w:val="00D83E03"/>
    <w:rsid w:val="00D8437D"/>
    <w:rsid w:val="00D853EA"/>
    <w:rsid w:val="00D8680F"/>
    <w:rsid w:val="00D86C36"/>
    <w:rsid w:val="00D90957"/>
    <w:rsid w:val="00D92B15"/>
    <w:rsid w:val="00D933EC"/>
    <w:rsid w:val="00D94997"/>
    <w:rsid w:val="00D96127"/>
    <w:rsid w:val="00D9675D"/>
    <w:rsid w:val="00D969FC"/>
    <w:rsid w:val="00DA217B"/>
    <w:rsid w:val="00DA4861"/>
    <w:rsid w:val="00DA5B3E"/>
    <w:rsid w:val="00DA6158"/>
    <w:rsid w:val="00DA6A64"/>
    <w:rsid w:val="00DB2D21"/>
    <w:rsid w:val="00DB34C7"/>
    <w:rsid w:val="00DB4C38"/>
    <w:rsid w:val="00DB708C"/>
    <w:rsid w:val="00DC0D67"/>
    <w:rsid w:val="00DC1868"/>
    <w:rsid w:val="00DC215F"/>
    <w:rsid w:val="00DC3032"/>
    <w:rsid w:val="00DC5456"/>
    <w:rsid w:val="00DC62C5"/>
    <w:rsid w:val="00DC7B6B"/>
    <w:rsid w:val="00DD02EC"/>
    <w:rsid w:val="00DD0395"/>
    <w:rsid w:val="00DD0AD0"/>
    <w:rsid w:val="00DD13F8"/>
    <w:rsid w:val="00DD1578"/>
    <w:rsid w:val="00DD2841"/>
    <w:rsid w:val="00DD2F31"/>
    <w:rsid w:val="00DD3208"/>
    <w:rsid w:val="00DD3248"/>
    <w:rsid w:val="00DD4816"/>
    <w:rsid w:val="00DD5B0C"/>
    <w:rsid w:val="00DD6776"/>
    <w:rsid w:val="00DD7FA9"/>
    <w:rsid w:val="00DE0372"/>
    <w:rsid w:val="00DE152E"/>
    <w:rsid w:val="00DE1CA0"/>
    <w:rsid w:val="00DE1D38"/>
    <w:rsid w:val="00DE4E0E"/>
    <w:rsid w:val="00DE53A7"/>
    <w:rsid w:val="00DE626E"/>
    <w:rsid w:val="00DE741A"/>
    <w:rsid w:val="00DE7D29"/>
    <w:rsid w:val="00DF0A28"/>
    <w:rsid w:val="00DF19E6"/>
    <w:rsid w:val="00DF1AF8"/>
    <w:rsid w:val="00DF1F97"/>
    <w:rsid w:val="00DF208C"/>
    <w:rsid w:val="00DF237D"/>
    <w:rsid w:val="00DF260A"/>
    <w:rsid w:val="00DF3782"/>
    <w:rsid w:val="00DF3A76"/>
    <w:rsid w:val="00DF61E3"/>
    <w:rsid w:val="00DF76C7"/>
    <w:rsid w:val="00E000C6"/>
    <w:rsid w:val="00E012D5"/>
    <w:rsid w:val="00E01314"/>
    <w:rsid w:val="00E016D7"/>
    <w:rsid w:val="00E01E85"/>
    <w:rsid w:val="00E03A36"/>
    <w:rsid w:val="00E04178"/>
    <w:rsid w:val="00E045E8"/>
    <w:rsid w:val="00E046E7"/>
    <w:rsid w:val="00E05C4C"/>
    <w:rsid w:val="00E06CA9"/>
    <w:rsid w:val="00E06F34"/>
    <w:rsid w:val="00E07FCD"/>
    <w:rsid w:val="00E15484"/>
    <w:rsid w:val="00E1552E"/>
    <w:rsid w:val="00E167C1"/>
    <w:rsid w:val="00E216DE"/>
    <w:rsid w:val="00E22142"/>
    <w:rsid w:val="00E227A3"/>
    <w:rsid w:val="00E23180"/>
    <w:rsid w:val="00E25CEE"/>
    <w:rsid w:val="00E2632E"/>
    <w:rsid w:val="00E26579"/>
    <w:rsid w:val="00E30739"/>
    <w:rsid w:val="00E31651"/>
    <w:rsid w:val="00E32A02"/>
    <w:rsid w:val="00E32A85"/>
    <w:rsid w:val="00E32EBE"/>
    <w:rsid w:val="00E33043"/>
    <w:rsid w:val="00E33DE3"/>
    <w:rsid w:val="00E3491B"/>
    <w:rsid w:val="00E36DBF"/>
    <w:rsid w:val="00E37549"/>
    <w:rsid w:val="00E37B98"/>
    <w:rsid w:val="00E40AEB"/>
    <w:rsid w:val="00E41871"/>
    <w:rsid w:val="00E42F35"/>
    <w:rsid w:val="00E43401"/>
    <w:rsid w:val="00E43BBB"/>
    <w:rsid w:val="00E4480C"/>
    <w:rsid w:val="00E4542F"/>
    <w:rsid w:val="00E45622"/>
    <w:rsid w:val="00E51BC3"/>
    <w:rsid w:val="00E55D96"/>
    <w:rsid w:val="00E56672"/>
    <w:rsid w:val="00E568F2"/>
    <w:rsid w:val="00E616DC"/>
    <w:rsid w:val="00E6218F"/>
    <w:rsid w:val="00E644DA"/>
    <w:rsid w:val="00E64F4B"/>
    <w:rsid w:val="00E6792B"/>
    <w:rsid w:val="00E71959"/>
    <w:rsid w:val="00E729DC"/>
    <w:rsid w:val="00E75535"/>
    <w:rsid w:val="00E75FA0"/>
    <w:rsid w:val="00E772E6"/>
    <w:rsid w:val="00E816BF"/>
    <w:rsid w:val="00E82551"/>
    <w:rsid w:val="00E847CA"/>
    <w:rsid w:val="00E84A4E"/>
    <w:rsid w:val="00E8533E"/>
    <w:rsid w:val="00E87E93"/>
    <w:rsid w:val="00E87F9C"/>
    <w:rsid w:val="00E911A8"/>
    <w:rsid w:val="00E91A29"/>
    <w:rsid w:val="00E91AD5"/>
    <w:rsid w:val="00E93252"/>
    <w:rsid w:val="00E95320"/>
    <w:rsid w:val="00E9538C"/>
    <w:rsid w:val="00E95B94"/>
    <w:rsid w:val="00E961AA"/>
    <w:rsid w:val="00E9744A"/>
    <w:rsid w:val="00EA08D7"/>
    <w:rsid w:val="00EA2217"/>
    <w:rsid w:val="00EA2767"/>
    <w:rsid w:val="00EA56B7"/>
    <w:rsid w:val="00EA5D39"/>
    <w:rsid w:val="00EA768F"/>
    <w:rsid w:val="00EB1143"/>
    <w:rsid w:val="00EB4180"/>
    <w:rsid w:val="00EB52B6"/>
    <w:rsid w:val="00EB721A"/>
    <w:rsid w:val="00EC0FEF"/>
    <w:rsid w:val="00EC1B66"/>
    <w:rsid w:val="00EC38F9"/>
    <w:rsid w:val="00EC5930"/>
    <w:rsid w:val="00EC6007"/>
    <w:rsid w:val="00EC6508"/>
    <w:rsid w:val="00EC689A"/>
    <w:rsid w:val="00EC6BE9"/>
    <w:rsid w:val="00EC77F3"/>
    <w:rsid w:val="00EC7A94"/>
    <w:rsid w:val="00ED0855"/>
    <w:rsid w:val="00ED1115"/>
    <w:rsid w:val="00ED2959"/>
    <w:rsid w:val="00ED45F2"/>
    <w:rsid w:val="00ED5F16"/>
    <w:rsid w:val="00ED64F6"/>
    <w:rsid w:val="00ED6D29"/>
    <w:rsid w:val="00EE2A56"/>
    <w:rsid w:val="00EE2F55"/>
    <w:rsid w:val="00EE3F33"/>
    <w:rsid w:val="00EE533C"/>
    <w:rsid w:val="00EE5419"/>
    <w:rsid w:val="00EE7444"/>
    <w:rsid w:val="00EF00C1"/>
    <w:rsid w:val="00EF1390"/>
    <w:rsid w:val="00EF205B"/>
    <w:rsid w:val="00EF2926"/>
    <w:rsid w:val="00EF3F43"/>
    <w:rsid w:val="00EF4B31"/>
    <w:rsid w:val="00EF5C00"/>
    <w:rsid w:val="00EF5CEE"/>
    <w:rsid w:val="00EF7EE7"/>
    <w:rsid w:val="00F00797"/>
    <w:rsid w:val="00F020C5"/>
    <w:rsid w:val="00F02DA0"/>
    <w:rsid w:val="00F037A1"/>
    <w:rsid w:val="00F03832"/>
    <w:rsid w:val="00F03D0B"/>
    <w:rsid w:val="00F04417"/>
    <w:rsid w:val="00F04675"/>
    <w:rsid w:val="00F053AC"/>
    <w:rsid w:val="00F110C3"/>
    <w:rsid w:val="00F127E6"/>
    <w:rsid w:val="00F12C7A"/>
    <w:rsid w:val="00F12F80"/>
    <w:rsid w:val="00F12FCD"/>
    <w:rsid w:val="00F1323F"/>
    <w:rsid w:val="00F14FC9"/>
    <w:rsid w:val="00F151DE"/>
    <w:rsid w:val="00F167F2"/>
    <w:rsid w:val="00F17771"/>
    <w:rsid w:val="00F20956"/>
    <w:rsid w:val="00F23819"/>
    <w:rsid w:val="00F23A7D"/>
    <w:rsid w:val="00F24B7E"/>
    <w:rsid w:val="00F259E4"/>
    <w:rsid w:val="00F260D1"/>
    <w:rsid w:val="00F278D0"/>
    <w:rsid w:val="00F31145"/>
    <w:rsid w:val="00F31A21"/>
    <w:rsid w:val="00F32044"/>
    <w:rsid w:val="00F3303E"/>
    <w:rsid w:val="00F33253"/>
    <w:rsid w:val="00F334C5"/>
    <w:rsid w:val="00F36186"/>
    <w:rsid w:val="00F367E9"/>
    <w:rsid w:val="00F42EEA"/>
    <w:rsid w:val="00F434C5"/>
    <w:rsid w:val="00F451DA"/>
    <w:rsid w:val="00F46660"/>
    <w:rsid w:val="00F5347A"/>
    <w:rsid w:val="00F562E1"/>
    <w:rsid w:val="00F56DF8"/>
    <w:rsid w:val="00F57D77"/>
    <w:rsid w:val="00F602A2"/>
    <w:rsid w:val="00F60482"/>
    <w:rsid w:val="00F624D8"/>
    <w:rsid w:val="00F64E04"/>
    <w:rsid w:val="00F706C8"/>
    <w:rsid w:val="00F7258A"/>
    <w:rsid w:val="00F728EF"/>
    <w:rsid w:val="00F72D18"/>
    <w:rsid w:val="00F73F6F"/>
    <w:rsid w:val="00F7451A"/>
    <w:rsid w:val="00F74655"/>
    <w:rsid w:val="00F75623"/>
    <w:rsid w:val="00F758F8"/>
    <w:rsid w:val="00F7790D"/>
    <w:rsid w:val="00F810CE"/>
    <w:rsid w:val="00F82B31"/>
    <w:rsid w:val="00F83828"/>
    <w:rsid w:val="00F84762"/>
    <w:rsid w:val="00F84E43"/>
    <w:rsid w:val="00F85996"/>
    <w:rsid w:val="00F85C3B"/>
    <w:rsid w:val="00F8692A"/>
    <w:rsid w:val="00F86BE7"/>
    <w:rsid w:val="00F871DC"/>
    <w:rsid w:val="00F87BF8"/>
    <w:rsid w:val="00F909D7"/>
    <w:rsid w:val="00F90AC9"/>
    <w:rsid w:val="00F91684"/>
    <w:rsid w:val="00F92B92"/>
    <w:rsid w:val="00F959A1"/>
    <w:rsid w:val="00F95A88"/>
    <w:rsid w:val="00F95EA9"/>
    <w:rsid w:val="00F96A51"/>
    <w:rsid w:val="00F97BC7"/>
    <w:rsid w:val="00F97BD9"/>
    <w:rsid w:val="00FA0C7A"/>
    <w:rsid w:val="00FA2345"/>
    <w:rsid w:val="00FA2A37"/>
    <w:rsid w:val="00FA34F4"/>
    <w:rsid w:val="00FA4460"/>
    <w:rsid w:val="00FA4EB4"/>
    <w:rsid w:val="00FA57D8"/>
    <w:rsid w:val="00FA5C8D"/>
    <w:rsid w:val="00FA6763"/>
    <w:rsid w:val="00FA6A26"/>
    <w:rsid w:val="00FA7DEC"/>
    <w:rsid w:val="00FB0532"/>
    <w:rsid w:val="00FB1BFB"/>
    <w:rsid w:val="00FB3D8D"/>
    <w:rsid w:val="00FB41A1"/>
    <w:rsid w:val="00FB5C3D"/>
    <w:rsid w:val="00FB682E"/>
    <w:rsid w:val="00FB7994"/>
    <w:rsid w:val="00FC05DB"/>
    <w:rsid w:val="00FC159B"/>
    <w:rsid w:val="00FC20E0"/>
    <w:rsid w:val="00FC2D16"/>
    <w:rsid w:val="00FC3B65"/>
    <w:rsid w:val="00FC3FC5"/>
    <w:rsid w:val="00FC4755"/>
    <w:rsid w:val="00FC6431"/>
    <w:rsid w:val="00FC77CD"/>
    <w:rsid w:val="00FC79FB"/>
    <w:rsid w:val="00FD23FC"/>
    <w:rsid w:val="00FD4524"/>
    <w:rsid w:val="00FD5B41"/>
    <w:rsid w:val="00FD5F29"/>
    <w:rsid w:val="00FD6025"/>
    <w:rsid w:val="00FD6A38"/>
    <w:rsid w:val="00FD70E7"/>
    <w:rsid w:val="00FD79C4"/>
    <w:rsid w:val="00FE15C7"/>
    <w:rsid w:val="00FE363F"/>
    <w:rsid w:val="00FE4E51"/>
    <w:rsid w:val="00FE543B"/>
    <w:rsid w:val="00FE60F3"/>
    <w:rsid w:val="00FF0001"/>
    <w:rsid w:val="00FF0683"/>
    <w:rsid w:val="00FF15C6"/>
    <w:rsid w:val="00FF2264"/>
    <w:rsid w:val="00FF2461"/>
    <w:rsid w:val="00FF2980"/>
    <w:rsid w:val="00FF33BC"/>
    <w:rsid w:val="00FF4765"/>
    <w:rsid w:val="00FF69BB"/>
    <w:rsid w:val="00FF6EF0"/>
    <w:rsid w:val="27BE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paragraph" w:styleId="3">
    <w:name w:val="heading 2"/>
    <w:basedOn w:val="1"/>
    <w:next w:val="4"/>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4"/>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unhideWhenUsed/>
    <w:uiPriority w:val="1"/>
  </w:style>
  <w:style w:type="table" w:default="1" w:styleId="48">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link w:val="85"/>
    <w:uiPriority w:val="0"/>
    <w:pPr>
      <w:ind w:firstLine="420"/>
    </w:pPr>
    <w:rPr>
      <w:lang w:val="zh-CN" w:eastAsia="zh-CN"/>
    </w:rPr>
  </w:style>
  <w:style w:type="paragraph" w:styleId="12">
    <w:name w:val="List 3"/>
    <w:basedOn w:val="1"/>
    <w:uiPriority w:val="0"/>
    <w:pPr>
      <w:ind w:left="100" w:leftChars="400" w:hanging="200" w:hangingChars="200"/>
    </w:pPr>
  </w:style>
  <w:style w:type="paragraph" w:styleId="13">
    <w:name w:val="annotation subject"/>
    <w:basedOn w:val="14"/>
    <w:next w:val="14"/>
    <w:semiHidden/>
    <w:qFormat/>
    <w:uiPriority w:val="0"/>
    <w:rPr>
      <w:b/>
      <w:bCs/>
    </w:rPr>
  </w:style>
  <w:style w:type="paragraph" w:styleId="14">
    <w:name w:val="annotation text"/>
    <w:basedOn w:val="1"/>
    <w:semiHidden/>
    <w:qFormat/>
    <w:uiPriority w:val="0"/>
    <w:pPr>
      <w:jc w:val="left"/>
    </w:pPr>
  </w:style>
  <w:style w:type="paragraph" w:styleId="15">
    <w:name w:val="toc 7"/>
    <w:basedOn w:val="1"/>
    <w:next w:val="1"/>
    <w:semiHidden/>
    <w:uiPriority w:val="0"/>
    <w:pPr>
      <w:ind w:left="1260"/>
      <w:jc w:val="left"/>
    </w:pPr>
  </w:style>
  <w:style w:type="paragraph" w:styleId="16">
    <w:name w:val="Body Text First Indent"/>
    <w:basedOn w:val="1"/>
    <w:uiPriority w:val="0"/>
    <w:pPr>
      <w:spacing w:line="360" w:lineRule="auto"/>
      <w:ind w:firstLine="200" w:firstLineChars="200"/>
    </w:pPr>
    <w:rPr>
      <w:rFonts w:ascii="仿宋_GB2312" w:eastAsia="仿宋_GB2312"/>
      <w:sz w:val="30"/>
      <w:szCs w:val="30"/>
    </w:rPr>
  </w:style>
  <w:style w:type="paragraph" w:styleId="17">
    <w:name w:val="Document Map"/>
    <w:basedOn w:val="1"/>
    <w:semiHidden/>
    <w:uiPriority w:val="0"/>
    <w:pPr>
      <w:shd w:val="clear" w:color="auto" w:fill="000080"/>
    </w:pPr>
  </w:style>
  <w:style w:type="paragraph" w:styleId="18">
    <w:name w:val="Body Text 3"/>
    <w:basedOn w:val="1"/>
    <w:uiPriority w:val="0"/>
    <w:rPr>
      <w:rFonts w:ascii="仿宋_GB2312" w:hAnsi="Arial" w:eastAsia="仿宋_GB2312"/>
      <w:sz w:val="32"/>
      <w:szCs w:val="32"/>
    </w:rPr>
  </w:style>
  <w:style w:type="paragraph" w:styleId="19">
    <w:name w:val="Body Text"/>
    <w:basedOn w:val="1"/>
    <w:uiPriority w:val="0"/>
    <w:rPr>
      <w:rFonts w:ascii="楷体_GB2312" w:hAnsi="Arial" w:eastAsia="楷体_GB2312"/>
      <w:sz w:val="28"/>
      <w:szCs w:val="28"/>
    </w:rPr>
  </w:style>
  <w:style w:type="paragraph" w:styleId="20">
    <w:name w:val="Body Text Indent"/>
    <w:basedOn w:val="1"/>
    <w:uiPriority w:val="0"/>
    <w:pPr>
      <w:ind w:firstLine="645"/>
    </w:pPr>
    <w:rPr>
      <w:rFonts w:ascii="楷体_GB2312" w:eastAsia="楷体_GB2312"/>
      <w:sz w:val="32"/>
      <w:szCs w:val="32"/>
    </w:rPr>
  </w:style>
  <w:style w:type="paragraph" w:styleId="21">
    <w:name w:val="List 2"/>
    <w:basedOn w:val="1"/>
    <w:uiPriority w:val="0"/>
    <w:pPr>
      <w:ind w:left="100" w:leftChars="200" w:hanging="200" w:hangingChars="200"/>
    </w:pPr>
  </w:style>
  <w:style w:type="paragraph" w:styleId="22">
    <w:name w:val="toc 5"/>
    <w:basedOn w:val="1"/>
    <w:next w:val="1"/>
    <w:semiHidden/>
    <w:uiPriority w:val="0"/>
    <w:pPr>
      <w:ind w:left="840"/>
      <w:jc w:val="left"/>
    </w:pPr>
  </w:style>
  <w:style w:type="paragraph" w:styleId="23">
    <w:name w:val="toc 3"/>
    <w:basedOn w:val="1"/>
    <w:next w:val="1"/>
    <w:semiHidden/>
    <w:uiPriority w:val="0"/>
    <w:pPr>
      <w:ind w:left="420"/>
      <w:jc w:val="left"/>
    </w:pPr>
    <w:rPr>
      <w:i/>
      <w:iCs/>
      <w:szCs w:val="24"/>
    </w:rPr>
  </w:style>
  <w:style w:type="paragraph" w:styleId="24">
    <w:name w:val="Plain Text"/>
    <w:basedOn w:val="1"/>
    <w:link w:val="88"/>
    <w:uiPriority w:val="0"/>
    <w:rPr>
      <w:rFonts w:ascii="宋体" w:hAnsi="Courier New"/>
      <w:lang w:val="zh-CN" w:eastAsia="zh-CN"/>
    </w:rPr>
  </w:style>
  <w:style w:type="paragraph" w:styleId="25">
    <w:name w:val="toc 8"/>
    <w:basedOn w:val="1"/>
    <w:next w:val="1"/>
    <w:semiHidden/>
    <w:uiPriority w:val="0"/>
    <w:pPr>
      <w:ind w:left="1470"/>
      <w:jc w:val="left"/>
    </w:pPr>
  </w:style>
  <w:style w:type="paragraph" w:styleId="26">
    <w:name w:val="Date"/>
    <w:basedOn w:val="1"/>
    <w:next w:val="1"/>
    <w:uiPriority w:val="0"/>
    <w:rPr>
      <w:sz w:val="24"/>
      <w:szCs w:val="24"/>
    </w:rPr>
  </w:style>
  <w:style w:type="paragraph" w:styleId="27">
    <w:name w:val="Body Text Indent 2"/>
    <w:basedOn w:val="1"/>
    <w:uiPriority w:val="0"/>
    <w:pPr>
      <w:ind w:left="630" w:firstLine="645"/>
    </w:pPr>
    <w:rPr>
      <w:rFonts w:ascii="Arial" w:hAnsi="Arial" w:eastAsia="仿宋_GB2312" w:cs="Arial"/>
      <w:sz w:val="32"/>
      <w:szCs w:val="32"/>
    </w:rPr>
  </w:style>
  <w:style w:type="paragraph" w:styleId="28">
    <w:name w:val="Balloon Text"/>
    <w:basedOn w:val="1"/>
    <w:semiHidden/>
    <w:qFormat/>
    <w:uiPriority w:val="0"/>
    <w:rPr>
      <w:sz w:val="18"/>
      <w:szCs w:val="18"/>
    </w:rPr>
  </w:style>
  <w:style w:type="paragraph" w:styleId="29">
    <w:name w:val="footer"/>
    <w:basedOn w:val="1"/>
    <w:link w:val="92"/>
    <w:uiPriority w:val="99"/>
    <w:pPr>
      <w:tabs>
        <w:tab w:val="center" w:pos="4153"/>
        <w:tab w:val="right" w:pos="8306"/>
      </w:tabs>
      <w:snapToGrid w:val="0"/>
      <w:jc w:val="left"/>
    </w:pPr>
    <w:rPr>
      <w:sz w:val="18"/>
      <w:szCs w:val="18"/>
      <w:lang w:val="zh-CN" w:eastAsia="zh-CN"/>
    </w:rPr>
  </w:style>
  <w:style w:type="paragraph" w:styleId="30">
    <w:name w:val="Body Text First Indent 2"/>
    <w:basedOn w:val="20"/>
    <w:uiPriority w:val="0"/>
    <w:pPr>
      <w:spacing w:line="360" w:lineRule="auto"/>
      <w:ind w:firstLine="420" w:firstLineChars="200"/>
    </w:pPr>
    <w:rPr>
      <w:rFonts w:ascii="宋体" w:hAnsi="宋体" w:eastAsia="宋体"/>
      <w:sz w:val="21"/>
      <w:szCs w:val="20"/>
    </w:rPr>
  </w:style>
  <w:style w:type="paragraph" w:styleId="31">
    <w:name w:val="header"/>
    <w:basedOn w:val="1"/>
    <w:link w:val="95"/>
    <w:uiPriority w:val="99"/>
    <w:pPr>
      <w:pBdr>
        <w:bottom w:val="single" w:color="auto" w:sz="6" w:space="1"/>
      </w:pBdr>
      <w:tabs>
        <w:tab w:val="center" w:pos="4153"/>
        <w:tab w:val="right" w:pos="8306"/>
      </w:tabs>
      <w:snapToGrid w:val="0"/>
      <w:jc w:val="center"/>
    </w:pPr>
    <w:rPr>
      <w:sz w:val="18"/>
      <w:szCs w:val="18"/>
      <w:lang w:val="zh-CN" w:eastAsia="zh-CN"/>
    </w:rPr>
  </w:style>
  <w:style w:type="paragraph" w:styleId="32">
    <w:name w:val="toc 1"/>
    <w:basedOn w:val="1"/>
    <w:next w:val="1"/>
    <w:semiHidden/>
    <w:uiPriority w:val="0"/>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uiPriority w:val="0"/>
    <w:pPr>
      <w:ind w:left="630"/>
      <w:jc w:val="left"/>
    </w:pPr>
  </w:style>
  <w:style w:type="paragraph" w:styleId="34">
    <w:name w:val="List"/>
    <w:basedOn w:val="1"/>
    <w:uiPriority w:val="0"/>
    <w:pPr>
      <w:ind w:left="200" w:hanging="200" w:hangingChars="200"/>
    </w:pPr>
  </w:style>
  <w:style w:type="paragraph" w:styleId="35">
    <w:name w:val="toc 6"/>
    <w:basedOn w:val="1"/>
    <w:next w:val="1"/>
    <w:semiHidden/>
    <w:uiPriority w:val="0"/>
    <w:pPr>
      <w:ind w:left="1050"/>
      <w:jc w:val="left"/>
    </w:pPr>
  </w:style>
  <w:style w:type="paragraph" w:styleId="36">
    <w:name w:val="Body Text Indent 3"/>
    <w:basedOn w:val="1"/>
    <w:uiPriority w:val="0"/>
    <w:pPr>
      <w:ind w:left="645" w:firstLine="645"/>
    </w:pPr>
    <w:rPr>
      <w:rFonts w:ascii="Arial" w:hAnsi="Arial" w:eastAsia="仿宋_GB2312" w:cs="Arial"/>
      <w:color w:val="FFFF00"/>
      <w:sz w:val="32"/>
      <w:szCs w:val="32"/>
    </w:rPr>
  </w:style>
  <w:style w:type="paragraph" w:styleId="37">
    <w:name w:val="table of figures"/>
    <w:basedOn w:val="1"/>
    <w:next w:val="1"/>
    <w:semiHidden/>
    <w:uiPriority w:val="0"/>
    <w:pPr>
      <w:ind w:left="840" w:hanging="420"/>
    </w:pPr>
  </w:style>
  <w:style w:type="paragraph" w:styleId="38">
    <w:name w:val="toc 2"/>
    <w:basedOn w:val="1"/>
    <w:next w:val="1"/>
    <w:semiHidden/>
    <w:uiPriority w:val="0"/>
    <w:pPr>
      <w:ind w:left="210"/>
      <w:jc w:val="left"/>
    </w:pPr>
    <w:rPr>
      <w:smallCaps/>
      <w:szCs w:val="24"/>
    </w:rPr>
  </w:style>
  <w:style w:type="paragraph" w:styleId="39">
    <w:name w:val="toc 9"/>
    <w:basedOn w:val="1"/>
    <w:next w:val="1"/>
    <w:semiHidden/>
    <w:uiPriority w:val="0"/>
    <w:pPr>
      <w:ind w:left="1680"/>
      <w:jc w:val="left"/>
    </w:pPr>
  </w:style>
  <w:style w:type="paragraph" w:styleId="40">
    <w:name w:val="Body Text 2"/>
    <w:basedOn w:val="1"/>
    <w:uiPriority w:val="0"/>
    <w:pPr>
      <w:widowControl/>
      <w:jc w:val="center"/>
    </w:pPr>
    <w:rPr>
      <w:rFonts w:ascii="楷体_GB2312" w:eastAsia="楷体_GB2312"/>
      <w:sz w:val="28"/>
      <w:szCs w:val="28"/>
    </w:rPr>
  </w:style>
  <w:style w:type="paragraph" w:styleId="41">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index 1"/>
    <w:basedOn w:val="1"/>
    <w:next w:val="1"/>
    <w:semiHidden/>
    <w:uiPriority w:val="0"/>
    <w:pPr>
      <w:spacing w:line="240" w:lineRule="atLeast"/>
    </w:pPr>
    <w:rPr>
      <w:b/>
      <w:bCs/>
    </w:rPr>
  </w:style>
  <w:style w:type="character" w:styleId="44">
    <w:name w:val="Strong"/>
    <w:qFormat/>
    <w:uiPriority w:val="0"/>
    <w:rPr>
      <w:b/>
      <w:bCs/>
    </w:rPr>
  </w:style>
  <w:style w:type="character" w:styleId="45">
    <w:name w:val="page number"/>
    <w:basedOn w:val="43"/>
    <w:uiPriority w:val="0"/>
  </w:style>
  <w:style w:type="character" w:styleId="46">
    <w:name w:val="Hyperlink"/>
    <w:uiPriority w:val="0"/>
    <w:rPr>
      <w:color w:val="0000FF"/>
      <w:u w:val="single"/>
    </w:rPr>
  </w:style>
  <w:style w:type="character" w:styleId="47">
    <w:name w:val="annotation reference"/>
    <w:semiHidden/>
    <w:qFormat/>
    <w:uiPriority w:val="0"/>
    <w:rPr>
      <w:sz w:val="21"/>
      <w:szCs w:val="21"/>
    </w:rPr>
  </w:style>
  <w:style w:type="table" w:styleId="49">
    <w:name w:val="Table Grid"/>
    <w:basedOn w:val="4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0">
    <w:name w:val="已访问的超链接1"/>
    <w:uiPriority w:val="0"/>
    <w:rPr>
      <w:color w:val="800080"/>
      <w:u w:val="single"/>
    </w:rPr>
  </w:style>
  <w:style w:type="paragraph" w:customStyle="1" w:styleId="51">
    <w:name w:val="普通 (Web)"/>
    <w:basedOn w:val="1"/>
    <w:uiPriority w:val="0"/>
    <w:pPr>
      <w:widowControl/>
      <w:spacing w:before="100" w:beforeAutospacing="1" w:after="100" w:afterAutospacing="1"/>
      <w:jc w:val="left"/>
    </w:pPr>
    <w:rPr>
      <w:rFonts w:ascii="宋体" w:hAnsi="宋体"/>
      <w:kern w:val="0"/>
      <w:sz w:val="24"/>
      <w:szCs w:val="24"/>
    </w:rPr>
  </w:style>
  <w:style w:type="paragraph" w:customStyle="1" w:styleId="52">
    <w:name w:val="标题3"/>
    <w:basedOn w:val="1"/>
    <w:next w:val="1"/>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53">
    <w:name w:val="标题1"/>
    <w:basedOn w:val="1"/>
    <w:next w:val="1"/>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54">
    <w:name w:val="附录1"/>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55">
    <w:name w:val="4"/>
    <w:basedOn w:val="1"/>
    <w:next w:val="36"/>
    <w:uiPriority w:val="0"/>
    <w:pPr>
      <w:spacing w:line="360" w:lineRule="auto"/>
      <w:ind w:firstLine="420"/>
    </w:pPr>
    <w:rPr>
      <w:color w:val="FF0000"/>
      <w:sz w:val="24"/>
      <w:szCs w:val="24"/>
    </w:rPr>
  </w:style>
  <w:style w:type="paragraph" w:customStyle="1" w:styleId="56">
    <w:name w:val="样式1"/>
    <w:basedOn w:val="1"/>
    <w:uiPriority w:val="0"/>
    <w:pPr>
      <w:numPr>
        <w:ilvl w:val="0"/>
        <w:numId w:val="3"/>
      </w:numPr>
      <w:adjustRightInd w:val="0"/>
      <w:textAlignment w:val="baseline"/>
    </w:pPr>
    <w:rPr>
      <w:rFonts w:ascii="宋体" w:hAnsi="宋体"/>
      <w:kern w:val="0"/>
    </w:rPr>
  </w:style>
  <w:style w:type="paragraph" w:customStyle="1" w:styleId="57">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8">
    <w:name w:val="Body Text(ch)"/>
    <w:basedOn w:val="1"/>
    <w:next w:val="19"/>
    <w:uiPriority w:val="0"/>
    <w:pPr>
      <w:spacing w:after="120"/>
    </w:pPr>
    <w:rPr>
      <w:rFonts w:ascii="宋体" w:hAnsi="Arial"/>
      <w:bCs/>
      <w:iCs/>
      <w:szCs w:val="24"/>
    </w:rPr>
  </w:style>
  <w:style w:type="paragraph" w:customStyle="1" w:styleId="59">
    <w:name w:val="图标"/>
    <w:basedOn w:val="1"/>
    <w:next w:val="1"/>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60">
    <w:name w:val="xl25"/>
    <w:basedOn w:val="1"/>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61">
    <w:name w:val="font5"/>
    <w:basedOn w:val="1"/>
    <w:uiPriority w:val="0"/>
    <w:pPr>
      <w:widowControl/>
      <w:spacing w:before="100" w:beforeAutospacing="1" w:after="100" w:afterAutospacing="1"/>
      <w:jc w:val="left"/>
    </w:pPr>
    <w:rPr>
      <w:rFonts w:hint="eastAsia" w:ascii="宋体" w:hAnsi="宋体"/>
      <w:kern w:val="0"/>
      <w:sz w:val="28"/>
      <w:szCs w:val="28"/>
    </w:rPr>
  </w:style>
  <w:style w:type="paragraph" w:customStyle="1" w:styleId="62">
    <w:name w:val="font6"/>
    <w:basedOn w:val="1"/>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63">
    <w:name w:val="font7"/>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4">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6">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6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68">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69">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70">
    <w:name w:val="Char"/>
    <w:basedOn w:val="17"/>
    <w:qFormat/>
    <w:uiPriority w:val="0"/>
    <w:rPr>
      <w:rFonts w:ascii="Tahoma" w:hAnsi="Tahoma"/>
      <w:sz w:val="24"/>
      <w:szCs w:val="24"/>
    </w:rPr>
  </w:style>
  <w:style w:type="paragraph" w:customStyle="1" w:styleId="71">
    <w:name w:val="table_1stline"/>
    <w:basedOn w:val="1"/>
    <w:qFormat/>
    <w:uiPriority w:val="0"/>
    <w:pPr>
      <w:widowControl/>
      <w:spacing w:before="120"/>
      <w:jc w:val="left"/>
    </w:pPr>
    <w:rPr>
      <w:bCs/>
      <w:kern w:val="0"/>
      <w:sz w:val="20"/>
      <w:szCs w:val="20"/>
      <w:lang w:val="de-DE" w:eastAsia="de-DE"/>
    </w:rPr>
  </w:style>
  <w:style w:type="paragraph" w:customStyle="1" w:styleId="72">
    <w:name w:val="table_lines"/>
    <w:basedOn w:val="1"/>
    <w:qFormat/>
    <w:uiPriority w:val="0"/>
    <w:pPr>
      <w:widowControl/>
      <w:jc w:val="left"/>
    </w:pPr>
    <w:rPr>
      <w:kern w:val="0"/>
      <w:sz w:val="20"/>
      <w:szCs w:val="20"/>
      <w:lang w:val="de-DE" w:eastAsia="de-DE"/>
    </w:rPr>
  </w:style>
  <w:style w:type="character" w:customStyle="1" w:styleId="73">
    <w:name w:val="font5 Char"/>
    <w:qFormat/>
    <w:uiPriority w:val="0"/>
    <w:rPr>
      <w:rFonts w:ascii="宋体" w:hAnsi="宋体" w:eastAsia="宋体"/>
      <w:sz w:val="28"/>
      <w:szCs w:val="28"/>
      <w:lang w:val="en-US" w:eastAsia="zh-CN" w:bidi="ar-SA"/>
    </w:rPr>
  </w:style>
  <w:style w:type="paragraph" w:customStyle="1" w:styleId="74">
    <w:name w:val="Char Char Char Char"/>
    <w:basedOn w:val="17"/>
    <w:uiPriority w:val="0"/>
    <w:pPr>
      <w:adjustRightInd w:val="0"/>
      <w:snapToGrid w:val="0"/>
      <w:spacing w:line="360" w:lineRule="auto"/>
    </w:pPr>
    <w:rPr>
      <w:rFonts w:ascii="Tahoma" w:hAnsi="Tahoma"/>
      <w:sz w:val="24"/>
      <w:szCs w:val="24"/>
    </w:rPr>
  </w:style>
  <w:style w:type="paragraph" w:customStyle="1" w:styleId="75">
    <w:name w:val="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76">
    <w:name w:val="Char Char 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77">
    <w:name w:val="Char Char Char Char1"/>
    <w:basedOn w:val="17"/>
    <w:uiPriority w:val="0"/>
    <w:pPr>
      <w:adjustRightInd w:val="0"/>
      <w:snapToGrid w:val="0"/>
      <w:spacing w:line="360" w:lineRule="auto"/>
    </w:pPr>
    <w:rPr>
      <w:rFonts w:ascii="Tahoma" w:hAnsi="Tahoma"/>
      <w:sz w:val="24"/>
      <w:szCs w:val="24"/>
    </w:rPr>
  </w:style>
  <w:style w:type="paragraph" w:customStyle="1" w:styleId="78">
    <w:name w:val="List Paragraph"/>
    <w:basedOn w:val="1"/>
    <w:qFormat/>
    <w:uiPriority w:val="34"/>
    <w:pPr>
      <w:widowControl/>
      <w:ind w:left="720"/>
      <w:contextualSpacing/>
      <w:jc w:val="left"/>
    </w:pPr>
    <w:rPr>
      <w:rFonts w:ascii="Calibri" w:hAnsi="Calibri"/>
      <w:kern w:val="0"/>
      <w:sz w:val="24"/>
      <w:szCs w:val="24"/>
      <w:lang w:eastAsia="en-US" w:bidi="en-US"/>
    </w:rPr>
  </w:style>
  <w:style w:type="paragraph" w:customStyle="1" w:styleId="79">
    <w:name w:val="Char Char Char Char Char Char Char Char Char Char"/>
    <w:basedOn w:val="1"/>
    <w:uiPriority w:val="0"/>
    <w:pPr>
      <w:adjustRightInd w:val="0"/>
      <w:spacing w:line="360" w:lineRule="auto"/>
    </w:pPr>
    <w:rPr>
      <w:kern w:val="0"/>
      <w:sz w:val="24"/>
      <w:szCs w:val="20"/>
    </w:rPr>
  </w:style>
  <w:style w:type="character" w:customStyle="1" w:styleId="80">
    <w:name w:val="列出段落 Char"/>
    <w:link w:val="81"/>
    <w:locked/>
    <w:uiPriority w:val="0"/>
    <w:rPr>
      <w:rFonts w:ascii="Calibri" w:hAnsi="Calibri"/>
      <w:sz w:val="24"/>
      <w:szCs w:val="24"/>
      <w:lang w:eastAsia="en-US" w:bidi="en-US"/>
    </w:rPr>
  </w:style>
  <w:style w:type="paragraph" w:customStyle="1" w:styleId="81">
    <w:name w:val="列出段落1"/>
    <w:basedOn w:val="1"/>
    <w:link w:val="80"/>
    <w:qFormat/>
    <w:uiPriority w:val="0"/>
    <w:pPr>
      <w:widowControl/>
      <w:ind w:left="720"/>
      <w:contextualSpacing/>
      <w:jc w:val="left"/>
    </w:pPr>
    <w:rPr>
      <w:rFonts w:ascii="Calibri" w:hAnsi="Calibri"/>
      <w:kern w:val="0"/>
      <w:sz w:val="24"/>
      <w:szCs w:val="24"/>
      <w:lang w:val="zh-CN" w:eastAsia="en-US" w:bidi="en-US"/>
    </w:rPr>
  </w:style>
  <w:style w:type="character" w:customStyle="1" w:styleId="82">
    <w:name w:val="二级目录 Char"/>
    <w:link w:val="83"/>
    <w:uiPriority w:val="0"/>
    <w:rPr>
      <w:b/>
      <w:kern w:val="2"/>
      <w:sz w:val="30"/>
      <w:szCs w:val="28"/>
      <w:lang w:val="en-US" w:eastAsia="zh-CN" w:bidi="ar-SA"/>
    </w:rPr>
  </w:style>
  <w:style w:type="paragraph" w:customStyle="1" w:styleId="83">
    <w:name w:val="二级目录"/>
    <w:next w:val="1"/>
    <w:link w:val="82"/>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paragraph" w:customStyle="1" w:styleId="84">
    <w:name w:val="Char1"/>
    <w:basedOn w:val="1"/>
    <w:uiPriority w:val="0"/>
    <w:pPr>
      <w:tabs>
        <w:tab w:val="left" w:pos="360"/>
      </w:tabs>
      <w:ind w:firstLine="200" w:firstLineChars="200"/>
    </w:pPr>
    <w:rPr>
      <w:sz w:val="28"/>
      <w:szCs w:val="30"/>
    </w:rPr>
  </w:style>
  <w:style w:type="character" w:customStyle="1" w:styleId="85">
    <w:name w:val="正文缩进 Char"/>
    <w:link w:val="4"/>
    <w:uiPriority w:val="0"/>
    <w:rPr>
      <w:kern w:val="2"/>
      <w:sz w:val="21"/>
      <w:szCs w:val="21"/>
    </w:rPr>
  </w:style>
  <w:style w:type="paragraph" w:customStyle="1" w:styleId="86">
    <w:name w:val="列出段落2"/>
    <w:basedOn w:val="1"/>
    <w:uiPriority w:val="0"/>
    <w:pPr>
      <w:ind w:firstLine="420" w:firstLineChars="200"/>
    </w:pPr>
    <w:rPr>
      <w:rFonts w:ascii="Calibri" w:hAnsi="Calibri"/>
      <w:szCs w:val="22"/>
    </w:rPr>
  </w:style>
  <w:style w:type="paragraph" w:customStyle="1" w:styleId="87">
    <w:name w:val="纯文本1"/>
    <w:basedOn w:val="1"/>
    <w:uiPriority w:val="0"/>
    <w:pPr>
      <w:adjustRightInd w:val="0"/>
    </w:pPr>
    <w:rPr>
      <w:rFonts w:ascii="宋体" w:hAnsi="Courier New" w:eastAsia="楷体_GB2312"/>
      <w:sz w:val="28"/>
      <w:szCs w:val="20"/>
    </w:rPr>
  </w:style>
  <w:style w:type="character" w:customStyle="1" w:styleId="88">
    <w:name w:val="纯文本 Char1"/>
    <w:link w:val="24"/>
    <w:uiPriority w:val="0"/>
    <w:rPr>
      <w:rFonts w:ascii="宋体" w:hAnsi="Courier New" w:cs="Courier New"/>
      <w:kern w:val="2"/>
      <w:sz w:val="21"/>
      <w:szCs w:val="21"/>
    </w:rPr>
  </w:style>
  <w:style w:type="paragraph" w:customStyle="1" w:styleId="89">
    <w:name w:val="彩色列表 - 强调文字颜色 11"/>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90">
    <w:name w:val="Table Sub Section"/>
    <w:basedOn w:val="1"/>
    <w:link w:val="91"/>
    <w:uiPriority w:val="0"/>
    <w:pPr>
      <w:keepNext/>
      <w:widowControl/>
      <w:spacing w:before="160" w:after="160" w:line="276" w:lineRule="auto"/>
      <w:jc w:val="left"/>
    </w:pPr>
    <w:rPr>
      <w:rFonts w:ascii="Arial" w:hAnsi="Arial"/>
      <w:b/>
      <w:color w:val="0F0F0F"/>
      <w:kern w:val="0"/>
      <w:sz w:val="20"/>
      <w:szCs w:val="20"/>
      <w:lang w:val="zh-CN" w:eastAsia="en-US"/>
    </w:rPr>
  </w:style>
  <w:style w:type="character" w:customStyle="1" w:styleId="91">
    <w:name w:val="Table Sub Section Char"/>
    <w:link w:val="90"/>
    <w:qFormat/>
    <w:locked/>
    <w:uiPriority w:val="0"/>
    <w:rPr>
      <w:rFonts w:ascii="Arial" w:hAnsi="Arial"/>
      <w:b/>
      <w:color w:val="0F0F0F"/>
      <w:lang w:eastAsia="en-US"/>
    </w:rPr>
  </w:style>
  <w:style w:type="character" w:customStyle="1" w:styleId="92">
    <w:name w:val="页脚 Char"/>
    <w:link w:val="29"/>
    <w:uiPriority w:val="99"/>
    <w:rPr>
      <w:kern w:val="2"/>
      <w:sz w:val="18"/>
      <w:szCs w:val="18"/>
    </w:rPr>
  </w:style>
  <w:style w:type="paragraph" w:customStyle="1" w:styleId="93">
    <w:name w:val="No Spacing"/>
    <w:link w:val="94"/>
    <w:qFormat/>
    <w:uiPriority w:val="1"/>
    <w:rPr>
      <w:rFonts w:ascii="Calibri" w:hAnsi="Calibri" w:eastAsia="宋体" w:cs="Times New Roman"/>
      <w:sz w:val="22"/>
      <w:szCs w:val="22"/>
      <w:lang w:val="en-US" w:eastAsia="zh-CN" w:bidi="ar-SA"/>
    </w:rPr>
  </w:style>
  <w:style w:type="character" w:customStyle="1" w:styleId="94">
    <w:name w:val="无间隔 Char"/>
    <w:link w:val="93"/>
    <w:uiPriority w:val="1"/>
    <w:rPr>
      <w:rFonts w:ascii="Calibri" w:hAnsi="Calibri"/>
      <w:sz w:val="22"/>
      <w:szCs w:val="22"/>
      <w:lang w:val="en-US" w:eastAsia="zh-CN" w:bidi="ar-SA"/>
    </w:rPr>
  </w:style>
  <w:style w:type="character" w:customStyle="1" w:styleId="95">
    <w:name w:val="页眉 Char"/>
    <w:link w:val="31"/>
    <w:uiPriority w:val="99"/>
    <w:rPr>
      <w:kern w:val="2"/>
      <w:sz w:val="18"/>
      <w:szCs w:val="18"/>
    </w:rPr>
  </w:style>
  <w:style w:type="paragraph" w:customStyle="1" w:styleId="96">
    <w:name w:val="招标"/>
    <w:basedOn w:val="1"/>
    <w:link w:val="97"/>
    <w:qFormat/>
    <w:uiPriority w:val="0"/>
    <w:pPr>
      <w:spacing w:line="400" w:lineRule="exact"/>
      <w:ind w:firstLine="420" w:firstLineChars="200"/>
      <w:jc w:val="left"/>
    </w:pPr>
    <w:rPr>
      <w:rFonts w:ascii="宋体" w:hAnsi="宋体"/>
      <w:lang w:val="zh-CN" w:eastAsia="zh-CN"/>
    </w:rPr>
  </w:style>
  <w:style w:type="character" w:customStyle="1" w:styleId="97">
    <w:name w:val="招标 Char"/>
    <w:link w:val="96"/>
    <w:qFormat/>
    <w:uiPriority w:val="0"/>
    <w:rPr>
      <w:rFonts w:ascii="宋体" w:hAnsi="宋体"/>
      <w:kern w:val="2"/>
      <w:sz w:val="21"/>
      <w:szCs w:val="21"/>
    </w:rPr>
  </w:style>
  <w:style w:type="paragraph" w:customStyle="1" w:styleId="98">
    <w:name w:val="招标文件"/>
    <w:basedOn w:val="96"/>
    <w:link w:val="99"/>
    <w:qFormat/>
    <w:uiPriority w:val="0"/>
    <w:rPr>
      <w:rFonts w:ascii="Times New Roman" w:hAnsi="Times New Roman"/>
      <w:kern w:val="0"/>
    </w:rPr>
  </w:style>
  <w:style w:type="character" w:customStyle="1" w:styleId="99">
    <w:name w:val="招标文件 Char"/>
    <w:link w:val="98"/>
    <w:qFormat/>
    <w:uiPriority w:val="0"/>
    <w:rPr>
      <w:rFonts w:ascii="宋体" w:hAnsi="宋体"/>
      <w:kern w:val="2"/>
      <w:sz w:val="21"/>
      <w:szCs w:val="21"/>
    </w:rPr>
  </w:style>
  <w:style w:type="character" w:customStyle="1" w:styleId="100">
    <w:name w:val="apple-converted-space"/>
    <w:basedOn w:val="43"/>
    <w:uiPriority w:val="0"/>
  </w:style>
  <w:style w:type="paragraph" w:customStyle="1" w:styleId="101">
    <w:name w:val="列出段落3"/>
    <w:basedOn w:val="1"/>
    <w:uiPriority w:val="0"/>
    <w:pPr>
      <w:widowControl/>
      <w:ind w:left="720"/>
      <w:contextualSpacing/>
      <w:jc w:val="left"/>
    </w:pPr>
    <w:rPr>
      <w:rFonts w:ascii="Arial" w:hAnsi="Arial" w:eastAsia="黑体"/>
      <w:kern w:val="0"/>
      <w:sz w:val="24"/>
      <w:szCs w:val="24"/>
      <w:lang w:eastAsia="en-US"/>
    </w:rPr>
  </w:style>
  <w:style w:type="paragraph" w:customStyle="1" w:styleId="102">
    <w:name w:val="_Style 101"/>
    <w:basedOn w:val="1"/>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05FC2-0346-4189-881F-34BD27F176EC}">
  <ds:schemaRefs/>
</ds:datastoreItem>
</file>

<file path=docProps/app.xml><?xml version="1.0" encoding="utf-8"?>
<Properties xmlns="http://schemas.openxmlformats.org/officeDocument/2006/extended-properties" xmlns:vt="http://schemas.openxmlformats.org/officeDocument/2006/docPropsVTypes">
  <Template>财政厅局域网标书</Template>
  <Company>Microsoft</Company>
  <Pages>14</Pages>
  <Words>1309</Words>
  <Characters>7467</Characters>
  <Lines>62</Lines>
  <Paragraphs>17</Paragraphs>
  <TotalTime>0</TotalTime>
  <ScaleCrop>false</ScaleCrop>
  <LinksUpToDate>false</LinksUpToDate>
  <CharactersWithSpaces>8759</CharactersWithSpaces>
  <Application>WPS Office_10.1.0.6527_F1E327BC-269C-435d-A152-05C5408002CA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2017-06-27T01:39:00Z</dcterms:created>
  <dc:creator>政府采购中心</dc:creator>
  <cp:lastModifiedBy>lilulu</cp:lastModifiedBy>
  <cp:lastPrinted>2016-12-01T07:59:00Z</cp:lastPrinted>
  <dcterms:modified xsi:type="dcterms:W3CDTF">2017-06-28T09:12:04Z</dcterms:modified>
  <dc:title>江苏卫生信息系统业务软件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