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1"/>
        <w:tabs>
          <w:tab w:val="center" w:pos="4476"/>
          <w:tab w:val="right" w:pos="8953"/>
        </w:tabs>
        <w:ind w:firstLine="0"/>
        <w:rPr>
          <w:rFonts w:eastAsia="黑体"/>
          <w:b/>
          <w:bCs/>
          <w:sz w:val="84"/>
        </w:rPr>
      </w:pPr>
      <w:bookmarkStart w:id="0" w:name="_Toc455914596"/>
      <w:bookmarkStart w:id="1" w:name="_Toc115756014"/>
      <w:bookmarkStart w:id="2" w:name="_Toc142209795"/>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sz w:val="84"/>
        </w:rPr>
      </w:pPr>
    </w:p>
    <w:p>
      <w:pPr>
        <w:pStyle w:val="81"/>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1"/>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ascii="宋体" w:hAnsi="宋体"/>
          <w:b/>
          <w:sz w:val="36"/>
        </w:rPr>
      </w:pPr>
      <w:r>
        <w:rPr>
          <w:rFonts w:hint="eastAsia" w:ascii="宋体" w:hAnsi="宋体"/>
          <w:b/>
          <w:sz w:val="36"/>
        </w:rPr>
        <w:t>项目名称：</w:t>
      </w:r>
      <w:r>
        <w:rPr>
          <w:rFonts w:hint="eastAsia" w:ascii="宋体" w:hAnsi="宋体"/>
          <w:b/>
          <w:sz w:val="36"/>
          <w:u w:val="single"/>
        </w:rPr>
        <w:t xml:space="preserve">   商学院审计实训平台软件</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lang w:val="en-US" w:eastAsia="zh-CN"/>
        </w:rPr>
        <w:t xml:space="preserve">      </w:t>
      </w:r>
      <w:r>
        <w:rPr>
          <w:rFonts w:ascii="宋体" w:hAnsi="宋体"/>
          <w:b/>
          <w:sz w:val="36"/>
          <w:u w:val="single"/>
        </w:rPr>
        <w:t>2018-ZB-XC0</w:t>
      </w:r>
      <w:r>
        <w:rPr>
          <w:rFonts w:hint="eastAsia" w:ascii="宋体" w:hAnsi="宋体"/>
          <w:b/>
          <w:sz w:val="36"/>
          <w:u w:val="single"/>
        </w:rPr>
        <w:t xml:space="preserve">25      </w:t>
      </w: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spacing w:before="0" w:after="0"/>
        <w:ind w:firstLine="0"/>
        <w:rPr>
          <w:rFonts w:ascii="宋体" w:hAnsi="宋体"/>
        </w:rPr>
      </w:pPr>
    </w:p>
    <w:p>
      <w:pPr>
        <w:pStyle w:val="81"/>
        <w:ind w:firstLine="0"/>
        <w:jc w:val="center"/>
        <w:rPr>
          <w:b/>
          <w:bCs/>
          <w:sz w:val="32"/>
        </w:rPr>
      </w:pPr>
      <w:r>
        <w:rPr>
          <w:rFonts w:hint="eastAsia"/>
          <w:b/>
          <w:bCs/>
          <w:sz w:val="32"/>
        </w:rPr>
        <w:t>江苏开放大学</w:t>
      </w:r>
    </w:p>
    <w:p>
      <w:pPr>
        <w:pStyle w:val="81"/>
        <w:spacing w:before="0" w:after="0"/>
        <w:ind w:firstLine="0"/>
        <w:rPr>
          <w:rFonts w:ascii="宋体" w:hAnsi="宋体"/>
        </w:rPr>
      </w:pPr>
    </w:p>
    <w:p>
      <w:pPr>
        <w:pStyle w:val="5"/>
        <w:jc w:val="center"/>
        <w:rPr>
          <w:rFonts w:ascii="Times New Roman" w:hAnsi="Times New Roman" w:eastAsia="楷体"/>
          <w:sz w:val="44"/>
        </w:rPr>
        <w:sectPr>
          <w:headerReference r:id="rId3" w:type="default"/>
          <w:footerReference r:id="rId4" w:type="default"/>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 商学院审计实训平台软件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w:t>
      </w:r>
      <w:r>
        <w:rPr>
          <w:rFonts w:hint="eastAsia" w:ascii="Times New Roman" w:hAnsi="Times New Roman" w:cs="Times New Roman"/>
          <w:sz w:val="21"/>
          <w:szCs w:val="21"/>
        </w:rPr>
        <w:t>25。</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商学院审计实训平台软件。</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项目预算：4.8万元。</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供货期：15天。</w:t>
      </w:r>
    </w:p>
    <w:p>
      <w:pPr>
        <w:pStyle w:val="27"/>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免费质保</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升级</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期：五年。</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rPr>
        <w:t>1</w:t>
      </w:r>
      <w:r>
        <w:rPr>
          <w:rFonts w:ascii="Times New Roman" w:hAnsi="Times New Roman"/>
          <w:sz w:val="21"/>
          <w:szCs w:val="21"/>
        </w:rPr>
        <w:t>.</w:t>
      </w:r>
      <w:r>
        <w:rPr>
          <w:rFonts w:hint="eastAsia" w:ascii="Times New Roman" w:hAnsi="Times New Roman"/>
          <w:sz w:val="21"/>
          <w:szCs w:val="21"/>
        </w:rPr>
        <w:t>3投标报名</w:t>
      </w:r>
    </w:p>
    <w:p>
      <w:pPr>
        <w:spacing w:line="360" w:lineRule="auto"/>
        <w:ind w:firstLine="420" w:firstLineChars="200"/>
      </w:pPr>
      <w:r>
        <w:rPr>
          <w:rFonts w:hint="eastAsia"/>
        </w:rPr>
        <w:t>有意投标的投标人请在2018年</w:t>
      </w:r>
      <w:r>
        <w:rPr>
          <w:rFonts w:hint="eastAsia"/>
          <w:lang w:val="en-US" w:eastAsia="zh-CN"/>
        </w:rPr>
        <w:t>6</w:t>
      </w:r>
      <w:r>
        <w:rPr>
          <w:rFonts w:hint="eastAsia"/>
        </w:rPr>
        <w:t>月</w:t>
      </w:r>
      <w:r>
        <w:rPr>
          <w:rFonts w:hint="eastAsia"/>
          <w:lang w:val="en-US" w:eastAsia="zh-CN"/>
        </w:rPr>
        <w:t>1</w:t>
      </w:r>
      <w:r>
        <w:rPr>
          <w:rFonts w:hint="eastAsia"/>
        </w:rPr>
        <w:t>日下午17:00前发送单位名称、联系人、联系电话及项目编号和项目名称到296049516@qq.com邮箱中，并在邮件标题中注明“</w:t>
      </w:r>
      <w:r>
        <w:rPr>
          <w:rFonts w:hint="eastAsia"/>
          <w:szCs w:val="21"/>
        </w:rPr>
        <w:t>商学院审计实训平台软件</w:t>
      </w:r>
      <w:r>
        <w:rPr>
          <w:rFonts w:hint="eastAsia"/>
        </w:rPr>
        <w:t>”。</w:t>
      </w:r>
    </w:p>
    <w:p>
      <w:pPr>
        <w:spacing w:line="360" w:lineRule="auto"/>
        <w:ind w:firstLine="422" w:firstLineChars="200"/>
        <w:rPr>
          <w:b/>
          <w:bCs/>
        </w:rPr>
      </w:pPr>
      <w:r>
        <w:rPr>
          <w:rFonts w:hint="eastAsia"/>
          <w:b/>
          <w:bCs/>
        </w:rPr>
        <w:t>凡未按要求报名者，学校不接受其投标。</w:t>
      </w: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rPr>
        <w:t>4</w:t>
      </w:r>
      <w:r>
        <w:rPr>
          <w:rFonts w:ascii="Times New Roman" w:hAnsi="Times New Roman"/>
          <w:sz w:val="21"/>
          <w:szCs w:val="21"/>
        </w:rPr>
        <w:t>招标文件获取</w:t>
      </w:r>
      <w:bookmarkEnd w:id="6"/>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spacing w:line="360" w:lineRule="auto"/>
        <w:ind w:firstLine="420" w:firstLineChars="200"/>
      </w:pP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rPr>
        <w:t>5</w:t>
      </w:r>
      <w:r>
        <w:rPr>
          <w:rFonts w:ascii="Times New Roman" w:hAnsi="Times New Roman"/>
          <w:sz w:val="21"/>
          <w:szCs w:val="21"/>
        </w:rPr>
        <w:t>投标文件递交</w:t>
      </w:r>
      <w:bookmarkEnd w:id="7"/>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6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4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一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7"/>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开标时间及地点</w:t>
      </w:r>
      <w:bookmarkEnd w:id="8"/>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6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4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一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7"/>
        <w:spacing w:before="0" w:beforeAutospacing="0" w:after="0" w:afterAutospacing="0" w:line="360" w:lineRule="auto"/>
        <w:ind w:firstLine="482"/>
        <w:rPr>
          <w:rFonts w:ascii="Times New Roman" w:hAnsi="Times New Roman" w:cs="Times New Roman"/>
          <w:sz w:val="21"/>
          <w:szCs w:val="21"/>
        </w:rPr>
      </w:pPr>
      <w:r>
        <w:rPr>
          <w:rStyle w:val="30"/>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发布公告媒介</w:t>
      </w:r>
      <w:bookmarkEnd w:id="9"/>
      <w:bookmarkStart w:id="60" w:name="_GoBack"/>
      <w:bookmarkEnd w:id="60"/>
    </w:p>
    <w:p>
      <w:pPr>
        <w:pStyle w:val="27"/>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4"/>
          <w:rFonts w:hint="eastAsia" w:ascii="Times New Roman" w:hAnsi="Times New Roman" w:cs="Times New Roman"/>
          <w:color w:val="auto"/>
          <w:sz w:val="21"/>
          <w:szCs w:val="21"/>
        </w:rPr>
        <w:t>http://www.jscvc.cn/</w:t>
      </w:r>
      <w:r>
        <w:rPr>
          <w:rStyle w:val="34"/>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10"/>
    </w:p>
    <w:p>
      <w:pPr>
        <w:pStyle w:val="17"/>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联系人：茅老师</w:t>
      </w:r>
    </w:p>
    <w:p>
      <w:pPr>
        <w:pStyle w:val="17"/>
        <w:spacing w:line="360" w:lineRule="auto"/>
        <w:ind w:firstLine="420" w:firstLineChars="200"/>
        <w:rPr>
          <w:rFonts w:ascii="Times New Roman" w:hAnsi="Times New Roman"/>
          <w:szCs w:val="21"/>
        </w:rPr>
      </w:pPr>
      <w:r>
        <w:rPr>
          <w:rFonts w:hint="eastAsia" w:ascii="Times New Roman" w:hAnsi="Times New Roman"/>
          <w:szCs w:val="21"/>
        </w:rPr>
        <w:t>联系电话：13773725499</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7"/>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7"/>
        <w:wordWrap w:val="0"/>
        <w:spacing w:before="0" w:beforeAutospacing="0" w:after="0" w:afterAutospacing="0" w:line="360" w:lineRule="auto"/>
        <w:ind w:firstLine="482"/>
        <w:rPr>
          <w:rFonts w:ascii="Times New Roman" w:hAnsi="Times New Roman" w:cs="Times New Roman"/>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7"/>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455914605"/>
      <w:bookmarkStart w:id="14" w:name="_Toc386980211"/>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7"/>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7"/>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7"/>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7"/>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7"/>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7"/>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7"/>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7"/>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7"/>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7"/>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7"/>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7"/>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7"/>
        <w:spacing w:line="360" w:lineRule="auto"/>
        <w:ind w:firstLine="420" w:firstLineChars="200"/>
        <w:rPr>
          <w:rFonts w:ascii="Times New Roman" w:hAnsi="Times New Roman"/>
          <w:szCs w:val="21"/>
        </w:rPr>
      </w:pPr>
      <w:bookmarkStart w:id="17" w:name="_Toc386980213"/>
      <w:bookmarkStart w:id="18" w:name="_Toc455914608"/>
      <w:bookmarkStart w:id="19" w:name="_Toc384844736"/>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7"/>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386980214"/>
      <w:bookmarkStart w:id="21" w:name="_Toc455914609"/>
      <w:bookmarkStart w:id="22" w:name="_Toc384844737"/>
      <w:r>
        <w:rPr>
          <w:rFonts w:hint="eastAsia" w:ascii="Times New Roman" w:hAnsi="Times New Roman"/>
          <w:sz w:val="21"/>
          <w:szCs w:val="21"/>
        </w:rPr>
        <w:t>2.4评标与定标</w:t>
      </w:r>
      <w:bookmarkEnd w:id="20"/>
      <w:bookmarkEnd w:id="21"/>
      <w:bookmarkEnd w:id="22"/>
    </w:p>
    <w:p>
      <w:pPr>
        <w:pStyle w:val="17"/>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7"/>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7"/>
        <w:spacing w:line="360" w:lineRule="auto"/>
        <w:ind w:firstLine="420" w:firstLineChars="200"/>
        <w:rPr>
          <w:rFonts w:ascii="Times New Roman" w:hAnsi="Times New Roman"/>
          <w:szCs w:val="21"/>
        </w:rPr>
      </w:pPr>
      <w:r>
        <w:rPr>
          <w:rFonts w:hint="eastAsia" w:ascii="Times New Roman" w:hAnsi="Times New Roman"/>
          <w:szCs w:val="21"/>
        </w:rPr>
        <w:t>2、</w:t>
      </w:r>
      <w:r>
        <w:rPr>
          <w:rFonts w:hint="eastAsia" w:ascii="Times New Roman" w:hAnsi="Times New Roman"/>
          <w:bCs/>
          <w:szCs w:val="21"/>
        </w:rPr>
        <w:t>评标工作小组在对投标人所投产品的配置、品牌、技术功能、报价与售后服务以及公司业绩、信用等进行综合评分，得分最高者中标。对未中标人，将不作任何</w:t>
      </w:r>
      <w:r>
        <w:rPr>
          <w:rFonts w:hint="eastAsia" w:ascii="Times New Roman" w:hAnsi="Times New Roman"/>
          <w:bCs/>
          <w:szCs w:val="21"/>
          <w:lang w:val="en-US" w:eastAsia="zh-CN"/>
        </w:rPr>
        <w:t xml:space="preserve"> </w:t>
      </w:r>
      <w:r>
        <w:rPr>
          <w:rFonts w:hint="eastAsia" w:ascii="Times New Roman" w:hAnsi="Times New Roman"/>
          <w:bCs/>
          <w:szCs w:val="21"/>
        </w:rPr>
        <w:t>解释，标书不退回。</w:t>
      </w:r>
    </w:p>
    <w:p>
      <w:pPr>
        <w:pStyle w:val="17"/>
        <w:spacing w:line="360" w:lineRule="auto"/>
        <w:ind w:firstLine="420" w:firstLineChars="200"/>
        <w:rPr>
          <w:rFonts w:ascii="Times New Roman" w:hAnsi="Times New Roman"/>
          <w:szCs w:val="21"/>
        </w:rPr>
      </w:pPr>
      <w:r>
        <w:rPr>
          <w:rFonts w:hint="eastAsia" w:ascii="Times New Roman" w:hAnsi="Times New Roman"/>
          <w:szCs w:val="21"/>
        </w:rPr>
        <w:t xml:space="preserve">3、本次招标采用 </w:t>
      </w:r>
      <w:r>
        <w:rPr>
          <w:rFonts w:hint="eastAsia" w:ascii="Times New Roman" w:hAnsi="Times New Roman"/>
          <w:szCs w:val="21"/>
          <w:u w:val="single"/>
        </w:rPr>
        <w:t xml:space="preserve">综合评分法 </w:t>
      </w:r>
      <w:r>
        <w:rPr>
          <w:rFonts w:hint="eastAsia" w:ascii="Times New Roman" w:hAnsi="Times New Roman"/>
          <w:szCs w:val="21"/>
        </w:rPr>
        <w:t>，采用百分制打分，得分最高者为第一中标候选人。</w:t>
      </w:r>
    </w:p>
    <w:p>
      <w:pPr>
        <w:pStyle w:val="17"/>
        <w:spacing w:line="360" w:lineRule="auto"/>
        <w:ind w:firstLine="420" w:firstLineChars="200"/>
        <w:rPr>
          <w:rFonts w:ascii="Times New Roman" w:hAnsi="Times New Roman"/>
          <w:szCs w:val="21"/>
        </w:rPr>
      </w:pPr>
      <w:r>
        <w:rPr>
          <w:rFonts w:hint="eastAsia" w:ascii="Times New Roman" w:hAnsi="Times New Roman"/>
          <w:szCs w:val="21"/>
        </w:rPr>
        <w:t>4、评分规则：</w:t>
      </w:r>
    </w:p>
    <w:tbl>
      <w:tblPr>
        <w:tblStyle w:val="36"/>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80"/>
        <w:gridCol w:w="708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rPr>
                <w:rFonts w:ascii="‹?GB2312" w:hAnsi="‹?GB2312" w:cs="宋体"/>
                <w:kern w:val="0"/>
                <w:szCs w:val="21"/>
              </w:rPr>
            </w:pPr>
            <w:r>
              <w:rPr>
                <w:rFonts w:hint="eastAsia" w:ascii="宋体" w:hAnsi="宋体" w:cs="宋体"/>
                <w:kern w:val="0"/>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评审因素</w:t>
            </w:r>
          </w:p>
        </w:tc>
        <w:tc>
          <w:tcPr>
            <w:tcW w:w="70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评审标准</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ascii="‹?GB2312" w:hAnsi="‹?GB2312" w:cs="宋体"/>
                <w:kern w:val="0"/>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价格</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用低价优先法计算，即满足招标文件要求且投标价格最低的投标报价为评标基准价，其价格分为满分。其他投标人的价格分统一按照下列公式计算：投标报价得分=(评标基准价/投标报价)×30（小数点保留两位）。</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w:t>
            </w:r>
            <w:r>
              <w:rPr>
                <w:rFonts w:ascii="‹?GB2312" w:hAnsi="‹?GB2312"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2</w:t>
            </w:r>
          </w:p>
        </w:tc>
        <w:tc>
          <w:tcPr>
            <w:tcW w:w="1080" w:type="dxa"/>
            <w:tcBorders>
              <w:top w:val="single" w:color="auto" w:sz="4" w:space="0"/>
              <w:left w:val="single" w:color="auto" w:sz="4" w:space="0"/>
              <w:right w:val="single" w:color="auto" w:sz="4" w:space="0"/>
            </w:tcBorders>
            <w:vAlign w:val="center"/>
          </w:tcPr>
          <w:p>
            <w:pPr>
              <w:jc w:val="center"/>
              <w:rPr>
                <w:rFonts w:ascii="‹?GB2312" w:hAnsi="‹?GB2312" w:cs="宋体"/>
                <w:kern w:val="0"/>
                <w:szCs w:val="21"/>
              </w:rPr>
            </w:pPr>
            <w:r>
              <w:rPr>
                <w:rFonts w:hint="eastAsia" w:ascii="‹?GB2312" w:hAnsi="‹?GB2312" w:cs="宋体"/>
                <w:kern w:val="0"/>
                <w:szCs w:val="21"/>
              </w:rPr>
              <w:t>技术</w:t>
            </w:r>
          </w:p>
        </w:tc>
        <w:tc>
          <w:tcPr>
            <w:tcW w:w="7081"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0"/>
              </w:rPr>
            </w:pPr>
            <w:r>
              <w:rPr>
                <w:rFonts w:hint="eastAsia" w:ascii="宋体"/>
                <w:szCs w:val="20"/>
              </w:rPr>
              <w:t>完全响应招标参数要求的，得20分；有一项负偏离扣5分，扣完为止；</w:t>
            </w:r>
          </w:p>
          <w:p>
            <w:pPr>
              <w:jc w:val="left"/>
              <w:rPr>
                <w:rFonts w:ascii="宋体"/>
                <w:szCs w:val="20"/>
              </w:rPr>
            </w:pPr>
            <w:r>
              <w:rPr>
                <w:rFonts w:hint="eastAsia" w:ascii="宋体"/>
                <w:szCs w:val="20"/>
              </w:rPr>
              <w:t>有1项正偏离且经专家认定有实质性意义的，加5分，10分封顶。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cs="宋体"/>
                <w:kern w:val="0"/>
                <w:szCs w:val="21"/>
              </w:rPr>
            </w:pPr>
            <w:r>
              <w:rPr>
                <w:rFonts w:hint="eastAsia" w:ascii="‹?GB2312" w:hAnsi="‹?GB2312"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w:t>
            </w:r>
          </w:p>
        </w:tc>
        <w:tc>
          <w:tcPr>
            <w:tcW w:w="1080" w:type="dxa"/>
            <w:tcBorders>
              <w:left w:val="single" w:color="auto" w:sz="4" w:space="0"/>
              <w:right w:val="single" w:color="auto" w:sz="4" w:space="0"/>
            </w:tcBorders>
            <w:vAlign w:val="center"/>
          </w:tcPr>
          <w:p>
            <w:pPr>
              <w:jc w:val="center"/>
              <w:rPr>
                <w:szCs w:val="20"/>
              </w:rPr>
            </w:pPr>
            <w:r>
              <w:rPr>
                <w:rFonts w:hint="eastAsia"/>
                <w:szCs w:val="20"/>
              </w:rPr>
              <w:t>业绩</w:t>
            </w:r>
          </w:p>
        </w:tc>
        <w:tc>
          <w:tcPr>
            <w:tcW w:w="708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2016年1月1日以来（以合同签订时间为准）投标企业承担过本招标项目类似业绩的(需提供合同复印件，原件备查)，一份业绩得2分，6分封顶。</w:t>
            </w:r>
          </w:p>
          <w:p>
            <w:pPr>
              <w:jc w:val="left"/>
              <w:rPr>
                <w:rFonts w:ascii="宋体" w:hAnsi="宋体"/>
                <w:szCs w:val="21"/>
              </w:rPr>
            </w:pPr>
            <w:r>
              <w:rPr>
                <w:rFonts w:hint="eastAsia"/>
                <w:szCs w:val="21"/>
              </w:rPr>
              <w:t>软件产品制造商承担过</w:t>
            </w:r>
            <w:r>
              <w:rPr>
                <w:rFonts w:hint="eastAsia"/>
                <w:szCs w:val="21"/>
                <w:lang w:val="en-US" w:eastAsia="zh-CN"/>
              </w:rPr>
              <w:t>省级或</w:t>
            </w:r>
            <w:r>
              <w:rPr>
                <w:rFonts w:hint="eastAsia"/>
                <w:szCs w:val="21"/>
              </w:rPr>
              <w:t>国家级科技项目或比赛的（必须提供证明文件并加盖公章，原件备查），加4分。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4</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售后</w:t>
            </w:r>
          </w:p>
        </w:tc>
        <w:tc>
          <w:tcPr>
            <w:tcW w:w="7081" w:type="dxa"/>
            <w:tcBorders>
              <w:top w:val="single" w:color="auto" w:sz="4" w:space="0"/>
              <w:left w:val="single" w:color="auto" w:sz="4" w:space="0"/>
              <w:bottom w:val="single" w:color="auto" w:sz="4" w:space="0"/>
              <w:right w:val="single" w:color="auto" w:sz="4" w:space="0"/>
            </w:tcBorders>
            <w:vAlign w:val="center"/>
          </w:tcPr>
          <w:p>
            <w:pPr>
              <w:rPr>
                <w:szCs w:val="20"/>
              </w:rPr>
            </w:pPr>
            <w:r>
              <w:rPr>
                <w:rFonts w:hint="eastAsia"/>
                <w:szCs w:val="20"/>
              </w:rPr>
              <w:t>免费质保（升级）期5年</w:t>
            </w:r>
            <w:r>
              <w:rPr>
                <w:rFonts w:hint="eastAsia"/>
                <w:szCs w:val="20"/>
                <w:lang w:eastAsia="zh-CN"/>
              </w:rPr>
              <w:t>（</w:t>
            </w:r>
            <w:r>
              <w:rPr>
                <w:rFonts w:hint="eastAsia"/>
                <w:szCs w:val="20"/>
                <w:lang w:val="en-US" w:eastAsia="zh-CN"/>
              </w:rPr>
              <w:t>含</w:t>
            </w:r>
            <w:r>
              <w:rPr>
                <w:rFonts w:hint="eastAsia"/>
                <w:szCs w:val="20"/>
                <w:lang w:eastAsia="zh-CN"/>
              </w:rPr>
              <w:t>）</w:t>
            </w:r>
            <w:r>
              <w:rPr>
                <w:rFonts w:hint="eastAsia"/>
                <w:szCs w:val="20"/>
                <w:lang w:val="en-US" w:eastAsia="zh-CN"/>
              </w:rPr>
              <w:t>内</w:t>
            </w:r>
            <w:r>
              <w:rPr>
                <w:rFonts w:hint="eastAsia"/>
                <w:szCs w:val="20"/>
              </w:rPr>
              <w:t>不得分，每延长一年加2分，4分封顶。</w:t>
            </w:r>
          </w:p>
          <w:p>
            <w:pPr>
              <w:jc w:val="left"/>
              <w:rPr>
                <w:szCs w:val="20"/>
              </w:rPr>
            </w:pPr>
            <w:r>
              <w:rPr>
                <w:rFonts w:hint="eastAsia"/>
                <w:szCs w:val="20"/>
              </w:rPr>
              <w:t>根据厂家售后服务承诺打分，一般2分，良4分，优6分，没有不得分。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0"/>
              </w:rPr>
            </w:pPr>
            <w:r>
              <w:rPr>
                <w:rFonts w:hint="eastAsia" w:ascii="宋体"/>
                <w:szCs w:val="20"/>
              </w:rPr>
              <w:t>演示</w:t>
            </w:r>
          </w:p>
        </w:tc>
        <w:tc>
          <w:tcPr>
            <w:tcW w:w="7081"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s="宋体"/>
                <w:szCs w:val="21"/>
              </w:rPr>
            </w:pPr>
            <w:r>
              <w:rPr>
                <w:rFonts w:hint="eastAsia" w:ascii="宋体" w:hAnsi="宋体" w:cs="宋体"/>
                <w:szCs w:val="21"/>
              </w:rPr>
              <w:t>由投标人对软件进行现场演示，评委根据标要求和教学需要对演示环节进行评分。一般7分，良14分，优20分</w:t>
            </w:r>
            <w:r>
              <w:rPr>
                <w:rFonts w:hint="eastAsia" w:ascii="宋体" w:hAnsi="宋体" w:cs="宋体"/>
                <w:szCs w:val="21"/>
                <w:lang w:eastAsia="zh-CN"/>
              </w:rPr>
              <w:t>，</w:t>
            </w:r>
            <w:r>
              <w:rPr>
                <w:rFonts w:hint="eastAsia" w:ascii="宋体" w:hAnsi="宋体" w:cs="宋体"/>
                <w:szCs w:val="21"/>
              </w:rPr>
              <w:t>没有演示或者演示不符合教学需要的不得分</w:t>
            </w:r>
            <w:r>
              <w:rPr>
                <w:rFonts w:hint="eastAsia" w:ascii="宋体" w:hAnsi="宋体" w:cs="宋体"/>
                <w:szCs w:val="21"/>
                <w:lang w:eastAsia="zh-CN"/>
              </w:rPr>
              <w:t>。</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20</w:t>
            </w:r>
          </w:p>
        </w:tc>
      </w:tr>
    </w:tbl>
    <w:p>
      <w:pPr>
        <w:pStyle w:val="17"/>
        <w:spacing w:line="360" w:lineRule="auto"/>
        <w:ind w:firstLine="420" w:firstLineChars="200"/>
        <w:rPr>
          <w:rFonts w:ascii="Times New Roman" w:hAnsi="Times New Roman"/>
          <w:szCs w:val="21"/>
        </w:rPr>
      </w:pPr>
    </w:p>
    <w:p>
      <w:pPr>
        <w:pStyle w:val="17"/>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4"/>
          <w:rFonts w:hint="eastAsia" w:ascii="Times New Roman" w:hAnsi="Times New Roman"/>
          <w:color w:val="auto"/>
          <w:szCs w:val="21"/>
        </w:rPr>
        <w:t>http://www.jscvc.cn/</w:t>
      </w:r>
      <w:r>
        <w:rPr>
          <w:rStyle w:val="34"/>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Style w:val="30"/>
          <w:rFonts w:ascii="Times New Roman" w:hAnsi="Times New Roman"/>
          <w:b/>
          <w:bCs w:val="0"/>
          <w:sz w:val="21"/>
          <w:szCs w:val="21"/>
        </w:rPr>
      </w:pPr>
      <w:bookmarkStart w:id="23" w:name="_Toc455914610"/>
      <w:bookmarkStart w:id="24" w:name="_Toc384844738"/>
      <w:bookmarkStart w:id="25" w:name="_Toc386980215"/>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3"/>
      <w:bookmarkEnd w:id="24"/>
      <w:bookmarkEnd w:id="25"/>
      <w:bookmarkStart w:id="26" w:name="_Toc386980216"/>
      <w:bookmarkStart w:id="27" w:name="_Toc384844739"/>
      <w:bookmarkStart w:id="28" w:name="_Toc455914611"/>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6"/>
      <w:bookmarkEnd w:id="27"/>
      <w:bookmarkEnd w:id="28"/>
    </w:p>
    <w:p>
      <w:pPr>
        <w:pStyle w:val="17"/>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7"/>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9"/>
    </w:p>
    <w:p>
      <w:pPr>
        <w:pStyle w:val="17"/>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7"/>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7"/>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7"/>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7"/>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7"/>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7"/>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7"/>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7"/>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7"/>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7"/>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rPr>
        <w:t>。</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付款方式</w:t>
      </w:r>
      <w:bookmarkEnd w:id="34"/>
      <w:bookmarkEnd w:id="35"/>
      <w:bookmarkEnd w:id="36"/>
    </w:p>
    <w:p>
      <w:pPr>
        <w:pStyle w:val="17"/>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7"/>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2、货物运到采购人指定的地点，安装调试结束，经采购人验收合格，中标供应商提交所需单据后，</w:t>
      </w:r>
      <w:r>
        <w:rPr>
          <w:rFonts w:hint="eastAsia" w:ascii="Times New Roman" w:hAnsi="Times New Roman"/>
          <w:b/>
          <w:bCs/>
          <w:color w:val="auto"/>
          <w:szCs w:val="21"/>
          <w:highlight w:val="none"/>
        </w:rPr>
        <w:t xml:space="preserve">支付合同总价的 </w:t>
      </w:r>
      <w:r>
        <w:rPr>
          <w:rFonts w:hint="eastAsia" w:ascii="Times New Roman" w:hAnsi="Times New Roman"/>
          <w:b/>
          <w:bCs/>
          <w:color w:val="auto"/>
          <w:szCs w:val="21"/>
          <w:highlight w:val="none"/>
          <w:lang w:val="en-US" w:eastAsia="zh-CN"/>
        </w:rPr>
        <w:t>8</w:t>
      </w:r>
      <w:r>
        <w:rPr>
          <w:rFonts w:hint="eastAsia" w:ascii="Times New Roman" w:hAnsi="Times New Roman"/>
          <w:b/>
          <w:bCs/>
          <w:color w:val="auto"/>
          <w:szCs w:val="21"/>
          <w:highlight w:val="none"/>
        </w:rPr>
        <w:t>5 %；余款</w:t>
      </w:r>
      <w:r>
        <w:rPr>
          <w:rFonts w:hint="eastAsia" w:ascii="Times New Roman" w:hAnsi="Times New Roman"/>
          <w:b/>
          <w:bCs/>
          <w:color w:val="auto"/>
          <w:szCs w:val="21"/>
          <w:highlight w:val="none"/>
          <w:lang w:val="en-US" w:eastAsia="zh-CN"/>
        </w:rPr>
        <w:t>1</w:t>
      </w:r>
      <w:r>
        <w:rPr>
          <w:rFonts w:hint="eastAsia" w:ascii="Times New Roman" w:hAnsi="Times New Roman"/>
          <w:b/>
          <w:bCs/>
          <w:color w:val="auto"/>
          <w:szCs w:val="21"/>
          <w:highlight w:val="none"/>
        </w:rPr>
        <w:t>5%作为质保金，</w:t>
      </w:r>
      <w:r>
        <w:rPr>
          <w:rFonts w:hint="eastAsia" w:ascii="Times New Roman" w:hAnsi="Times New Roman"/>
          <w:szCs w:val="21"/>
        </w:rPr>
        <w:t>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spacing w:line="360" w:lineRule="auto"/>
        <w:ind w:firstLine="420" w:firstLineChars="200"/>
        <w:rPr>
          <w:szCs w:val="21"/>
        </w:rPr>
      </w:pPr>
    </w:p>
    <w:p>
      <w:pPr>
        <w:spacing w:line="360" w:lineRule="auto"/>
        <w:ind w:firstLine="420" w:firstLineChars="200"/>
        <w:rPr>
          <w:szCs w:val="21"/>
        </w:rPr>
      </w:pPr>
      <w:r>
        <w:rPr>
          <w:rFonts w:hint="eastAsia"/>
          <w:szCs w:val="21"/>
        </w:rPr>
        <w:t>本次采购的审计实训软件用于审计实践辅助教学，软件主要通过电脑进行仿真实训，能够仿真体现审计的基本业务流程；同时系统内容设计应以实践教学为主导，有较好的教学控制、引导措施，通过适量的实训使学生能够更好地理解和掌握审计的业务流程。</w:t>
      </w:r>
    </w:p>
    <w:p>
      <w:pPr>
        <w:spacing w:line="360" w:lineRule="auto"/>
        <w:ind w:firstLine="420" w:firstLineChars="200"/>
        <w:rPr>
          <w:szCs w:val="21"/>
        </w:rPr>
      </w:pPr>
    </w:p>
    <w:p>
      <w:pPr>
        <w:spacing w:line="360" w:lineRule="auto"/>
        <w:ind w:firstLine="420" w:firstLineChars="200"/>
        <w:rPr>
          <w:szCs w:val="21"/>
        </w:rPr>
      </w:pPr>
      <w:r>
        <w:rPr>
          <w:rFonts w:hint="eastAsia"/>
          <w:szCs w:val="21"/>
        </w:rPr>
        <w:t>（一）系统认证要求</w:t>
      </w:r>
    </w:p>
    <w:p>
      <w:pPr>
        <w:spacing w:line="360" w:lineRule="auto"/>
        <w:ind w:firstLine="420" w:firstLineChars="200"/>
        <w:rPr>
          <w:szCs w:val="21"/>
        </w:rPr>
      </w:pPr>
      <w:r>
        <w:rPr>
          <w:rFonts w:hint="eastAsia"/>
          <w:szCs w:val="21"/>
        </w:rPr>
        <w:t>1.为便于资产管理，软件采用B/S结构，网络服务器版，只需在服务器安装，不需其他移动终端载体。</w:t>
      </w:r>
    </w:p>
    <w:p>
      <w:pPr>
        <w:spacing w:line="360" w:lineRule="auto"/>
        <w:ind w:firstLine="420" w:firstLineChars="200"/>
        <w:rPr>
          <w:szCs w:val="21"/>
        </w:rPr>
      </w:pPr>
      <w:r>
        <w:rPr>
          <w:rFonts w:hint="eastAsia"/>
          <w:szCs w:val="21"/>
        </w:rPr>
        <w:t>2.平台无用户站点限制，不需要在客户端安装软件；不仅能支持基于校园网，还能支持基于互联网的应用。</w:t>
      </w:r>
    </w:p>
    <w:p>
      <w:pPr>
        <w:spacing w:line="360" w:lineRule="auto"/>
        <w:ind w:firstLine="420" w:firstLineChars="200"/>
        <w:rPr>
          <w:szCs w:val="21"/>
        </w:rPr>
      </w:pPr>
      <w:r>
        <w:rPr>
          <w:rFonts w:hint="eastAsia"/>
          <w:szCs w:val="21"/>
        </w:rPr>
        <w:t>3.支持管理员用表格导入教师账号，允许管理员修改所有老师导入系统的学生账号。</w:t>
      </w:r>
    </w:p>
    <w:p>
      <w:pPr>
        <w:spacing w:line="360" w:lineRule="auto"/>
        <w:ind w:firstLine="420" w:firstLineChars="200"/>
        <w:rPr>
          <w:szCs w:val="21"/>
        </w:rPr>
      </w:pPr>
      <w:r>
        <w:rPr>
          <w:rFonts w:hint="eastAsia"/>
          <w:szCs w:val="21"/>
        </w:rPr>
        <w:t>4.具有学习论坛板块，老师和学生可以在论坛中交流，学习，分享资料，且论坛可控制是否允许学生发布新贴及回复信息。</w:t>
      </w:r>
    </w:p>
    <w:p>
      <w:pPr>
        <w:spacing w:line="360" w:lineRule="auto"/>
        <w:ind w:firstLine="420" w:firstLineChars="200"/>
        <w:rPr>
          <w:szCs w:val="21"/>
        </w:rPr>
      </w:pPr>
      <w:r>
        <w:rPr>
          <w:rFonts w:hint="eastAsia"/>
          <w:szCs w:val="21"/>
        </w:rPr>
        <w:t>5.管理员可通过登录日志查询所有登录系统的用户信息，可对用户名、姓名、日期、客户机IP等对话框中输入需要查询的信息进行筛选，并能清空所有日志、导出数据和批量删除其中日志。</w:t>
      </w:r>
    </w:p>
    <w:p>
      <w:pPr>
        <w:spacing w:line="360" w:lineRule="auto"/>
        <w:ind w:firstLine="420" w:firstLineChars="200"/>
        <w:rPr>
          <w:szCs w:val="21"/>
        </w:rPr>
      </w:pPr>
      <w:r>
        <w:rPr>
          <w:rFonts w:hint="eastAsia"/>
          <w:szCs w:val="21"/>
        </w:rPr>
        <w:t>6.平台上分管理员、教师、学生身份有对应的使用手册。</w:t>
      </w:r>
    </w:p>
    <w:p>
      <w:pPr>
        <w:spacing w:line="360" w:lineRule="auto"/>
        <w:ind w:firstLine="420" w:firstLineChars="200"/>
        <w:rPr>
          <w:szCs w:val="21"/>
        </w:rPr>
      </w:pPr>
      <w:r>
        <w:rPr>
          <w:rFonts w:hint="eastAsia"/>
          <w:szCs w:val="21"/>
        </w:rPr>
        <w:t>7.支持教师用表格导入学生</w:t>
      </w:r>
      <w:r>
        <w:rPr>
          <w:rFonts w:hint="eastAsia"/>
          <w:color w:val="000000" w:themeColor="text1"/>
          <w:szCs w:val="21"/>
        </w:rPr>
        <w:t>账号或</w:t>
      </w:r>
      <w:r>
        <w:rPr>
          <w:rFonts w:hint="eastAsia"/>
          <w:color w:val="000000" w:themeColor="text1"/>
          <w:szCs w:val="21"/>
          <w:lang w:eastAsia="zh-CN"/>
        </w:rPr>
        <w:t>批量</w:t>
      </w:r>
      <w:r>
        <w:rPr>
          <w:rFonts w:hint="eastAsia"/>
          <w:color w:val="000000" w:themeColor="text1"/>
          <w:szCs w:val="21"/>
          <w:highlight w:val="none"/>
        </w:rPr>
        <w:t>生成</w:t>
      </w:r>
      <w:r>
        <w:rPr>
          <w:rFonts w:hint="eastAsia"/>
          <w:szCs w:val="21"/>
        </w:rPr>
        <w:t>学生账号，并能共享其他老师导入平台中的学生账号。</w:t>
      </w:r>
    </w:p>
    <w:p>
      <w:pPr>
        <w:spacing w:line="360" w:lineRule="auto"/>
        <w:ind w:firstLine="420" w:firstLineChars="200"/>
        <w:rPr>
          <w:szCs w:val="21"/>
        </w:rPr>
      </w:pPr>
      <w:r>
        <w:rPr>
          <w:rFonts w:hint="eastAsia"/>
          <w:szCs w:val="21"/>
        </w:rPr>
        <w:t>8.具有模糊答案功能，即允许学生采用和标准答案不同的正确答案表达方式，评分系统能够智能识别互认为正确。</w:t>
      </w:r>
    </w:p>
    <w:p>
      <w:pPr>
        <w:spacing w:line="360" w:lineRule="auto"/>
        <w:ind w:firstLine="420" w:firstLineChars="200"/>
        <w:rPr>
          <w:szCs w:val="21"/>
        </w:rPr>
      </w:pPr>
      <w:r>
        <w:rPr>
          <w:rFonts w:hint="eastAsia"/>
          <w:szCs w:val="21"/>
        </w:rPr>
        <w:t>9.系统可控制是否允许学生查阅正确答案。</w:t>
      </w:r>
    </w:p>
    <w:p>
      <w:pPr>
        <w:spacing w:line="360" w:lineRule="auto"/>
        <w:ind w:firstLine="420" w:firstLineChars="200"/>
        <w:rPr>
          <w:szCs w:val="21"/>
        </w:rPr>
      </w:pPr>
      <w:r>
        <w:rPr>
          <w:rFonts w:hint="eastAsia"/>
          <w:szCs w:val="21"/>
        </w:rPr>
        <w:t>10.对于审计调整分录汇总支持手工和自动汇总两种模式，以适应不同的实训需求。</w:t>
      </w:r>
    </w:p>
    <w:p>
      <w:pPr>
        <w:spacing w:line="360" w:lineRule="auto"/>
        <w:ind w:firstLine="420" w:firstLineChars="200"/>
        <w:rPr>
          <w:szCs w:val="21"/>
        </w:rPr>
      </w:pPr>
      <w:r>
        <w:rPr>
          <w:rFonts w:hint="eastAsia"/>
          <w:szCs w:val="21"/>
        </w:rPr>
        <w:t>11.系统模拟对企业会计年报进行审计，被审计单位的会计经济业务不少</w:t>
      </w:r>
      <w:r>
        <w:rPr>
          <w:rFonts w:hint="eastAsia"/>
          <w:szCs w:val="21"/>
          <w:lang w:eastAsia="zh-CN"/>
        </w:rPr>
        <w:t>于一般中小企业的业务量</w:t>
      </w:r>
      <w:r>
        <w:rPr>
          <w:rFonts w:hint="eastAsia"/>
          <w:szCs w:val="21"/>
        </w:rPr>
        <w:t>。</w:t>
      </w:r>
    </w:p>
    <w:p>
      <w:pPr>
        <w:spacing w:line="360" w:lineRule="auto"/>
        <w:ind w:firstLine="420" w:firstLineChars="200"/>
        <w:rPr>
          <w:szCs w:val="21"/>
        </w:rPr>
      </w:pPr>
      <w:r>
        <w:rPr>
          <w:rFonts w:hint="eastAsia"/>
          <w:szCs w:val="21"/>
        </w:rPr>
        <w:t>12.教师可自行增加、修改被审计企业案例数据，被审单位账务资料具有电算化功能，可自动生成账簿、报表，经济业务、记账凭证可以支持表格导入。</w:t>
      </w:r>
    </w:p>
    <w:p>
      <w:pPr>
        <w:spacing w:line="360" w:lineRule="auto"/>
        <w:ind w:firstLine="420" w:firstLineChars="200"/>
        <w:rPr>
          <w:szCs w:val="21"/>
        </w:rPr>
      </w:pPr>
      <w:r>
        <w:rPr>
          <w:rFonts w:hint="eastAsia"/>
          <w:szCs w:val="21"/>
        </w:rPr>
        <w:t>13.教师可对审计工作各阶段的成绩标准权重进行调整以适应不同的考评要求。</w:t>
      </w:r>
    </w:p>
    <w:p>
      <w:pPr>
        <w:spacing w:line="360" w:lineRule="auto"/>
        <w:ind w:firstLine="420" w:firstLineChars="200"/>
        <w:rPr>
          <w:szCs w:val="21"/>
        </w:rPr>
      </w:pPr>
      <w:r>
        <w:rPr>
          <w:rFonts w:hint="eastAsia"/>
          <w:szCs w:val="21"/>
        </w:rPr>
        <w:t>14.教师可查看学生详细的实习数据情况，查看学生的实习自评，及系统能根据学生实习记录情况自动生成实习报告。</w:t>
      </w:r>
    </w:p>
    <w:p>
      <w:pPr>
        <w:spacing w:line="360" w:lineRule="auto"/>
        <w:ind w:firstLine="420" w:firstLineChars="200"/>
        <w:rPr>
          <w:szCs w:val="21"/>
        </w:rPr>
      </w:pPr>
      <w:r>
        <w:rPr>
          <w:rFonts w:hint="eastAsia"/>
          <w:szCs w:val="21"/>
        </w:rPr>
        <w:t>15.平台必须提供完整的被审计单位财务相关资料：包括企业的基本资料、财务报表、总账、明细账、记账凭证、科目汇总表及其他审计资料。</w:t>
      </w:r>
    </w:p>
    <w:p>
      <w:pPr>
        <w:spacing w:line="360" w:lineRule="auto"/>
        <w:ind w:firstLine="420" w:firstLineChars="200"/>
        <w:rPr>
          <w:szCs w:val="21"/>
        </w:rPr>
      </w:pPr>
      <w:r>
        <w:rPr>
          <w:rFonts w:hint="eastAsia"/>
          <w:szCs w:val="21"/>
        </w:rPr>
        <w:t>16.平台支持从明细账里面可直接链接索引到记账凭证，并查看相关的原始单据等内容。</w:t>
      </w:r>
    </w:p>
    <w:p>
      <w:pPr>
        <w:spacing w:line="360" w:lineRule="auto"/>
        <w:ind w:firstLine="420" w:firstLineChars="200"/>
        <w:rPr>
          <w:szCs w:val="21"/>
        </w:rPr>
      </w:pPr>
      <w:r>
        <w:rPr>
          <w:rFonts w:hint="eastAsia"/>
          <w:szCs w:val="21"/>
        </w:rPr>
        <w:t>17.支持成绩分析功能：教师可以按照分数段来统计各个分数段的人数，有统计分析。</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18.支持单元考试功能，支持教师导入基于选择、判断、计算题型的题库，能自动评判成绩，并可导出学生做的试卷电子稿，可根据教学任务要求，教师自己设计题目并可以导入该软件。</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19.支持数据输出，期末教师可以按照题库的内容智能组卷，并支持导出试卷信息和学生做题的详细信息。</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20.软件既要有分项实训包括审计计划阶段、风险评估阶段、控制测试阶段、实质性测试阶段、审计报告阶段等的分项实训，还要包括至少5个相互独立的、相对完整的、不同类型企业的、可通过计算机审计完成的综合实训</w:t>
      </w:r>
      <w:r>
        <w:rPr>
          <w:rFonts w:hint="eastAsia"/>
          <w:color w:val="000000" w:themeColor="text1"/>
          <w:szCs w:val="21"/>
          <w:highlight w:val="none"/>
          <w:lang w:val="en-US" w:eastAsia="zh-CN"/>
        </w:rPr>
        <w:t xml:space="preserve"> </w:t>
      </w:r>
      <w:r>
        <w:rPr>
          <w:rFonts w:hint="eastAsia"/>
          <w:color w:val="000000" w:themeColor="text1"/>
          <w:szCs w:val="21"/>
          <w:highlight w:val="none"/>
        </w:rPr>
        <w:t>。</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21.教师可以掌握学生的学习进度，可以实时查看学生的学习进度和学习效果。</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22.软件制造商应提供有关产品省级以上测试中心的测试报告，以证明软件的技术、功能是否符合最新国家标准,是否达到采购方要求。</w:t>
      </w:r>
    </w:p>
    <w:p>
      <w:pPr>
        <w:spacing w:line="360" w:lineRule="auto"/>
        <w:ind w:firstLine="420" w:firstLineChars="200"/>
        <w:rPr>
          <w:szCs w:val="21"/>
        </w:rPr>
      </w:pPr>
      <w:r>
        <w:rPr>
          <w:rFonts w:hint="eastAsia"/>
          <w:color w:val="000000" w:themeColor="text1"/>
          <w:szCs w:val="21"/>
          <w:highlight w:val="none"/>
        </w:rPr>
        <w:t>23.为保证所购买的软件产品为正版，制造商须提供国家版权局颁发的该软件《计算机著作权登记证书》提供复印件加盖</w:t>
      </w:r>
      <w:r>
        <w:rPr>
          <w:rFonts w:hint="eastAsia"/>
          <w:szCs w:val="21"/>
        </w:rPr>
        <w:t>公章。</w:t>
      </w:r>
    </w:p>
    <w:p>
      <w:pPr>
        <w:spacing w:line="360" w:lineRule="auto"/>
        <w:ind w:firstLine="420" w:firstLineChars="200"/>
        <w:rPr>
          <w:szCs w:val="21"/>
        </w:rPr>
      </w:pPr>
      <w:r>
        <w:rPr>
          <w:rFonts w:hint="eastAsia"/>
          <w:szCs w:val="21"/>
        </w:rPr>
        <w:t>24.投标时必须提供产品软件制造商的《企业法人营业执照》，软件产品制造商提供《软件企业认定证书》、《高新技术企业认定证书》《ISO9001质量管理体系认证证书》证明文件加盖公章。</w:t>
      </w:r>
    </w:p>
    <w:p>
      <w:pPr>
        <w:spacing w:line="360" w:lineRule="auto"/>
        <w:ind w:firstLine="420" w:firstLineChars="200"/>
        <w:rPr>
          <w:szCs w:val="21"/>
        </w:rPr>
      </w:pPr>
    </w:p>
    <w:p>
      <w:pPr>
        <w:spacing w:line="360" w:lineRule="auto"/>
        <w:ind w:firstLine="420" w:firstLineChars="200"/>
        <w:rPr>
          <w:szCs w:val="21"/>
        </w:rPr>
      </w:pPr>
      <w:r>
        <w:rPr>
          <w:rFonts w:hint="eastAsia"/>
          <w:szCs w:val="21"/>
        </w:rPr>
        <w:t>（二）服务要求</w:t>
      </w:r>
    </w:p>
    <w:p>
      <w:pPr>
        <w:spacing w:line="360" w:lineRule="auto"/>
        <w:ind w:firstLine="420" w:firstLineChars="200"/>
        <w:rPr>
          <w:szCs w:val="21"/>
        </w:rPr>
      </w:pPr>
      <w:r>
        <w:rPr>
          <w:rFonts w:hint="eastAsia"/>
          <w:szCs w:val="21"/>
        </w:rPr>
        <w:t>1、自验收合格之日起五年内免费质保、免费升级。12小时响应，免费上门培训；</w:t>
      </w:r>
    </w:p>
    <w:p>
      <w:pPr>
        <w:spacing w:line="360" w:lineRule="auto"/>
        <w:ind w:firstLine="420" w:firstLineChars="200"/>
        <w:rPr>
          <w:szCs w:val="21"/>
        </w:rPr>
      </w:pPr>
      <w:r>
        <w:rPr>
          <w:rFonts w:hint="eastAsia"/>
          <w:szCs w:val="21"/>
        </w:rPr>
        <w:t>2、提供每周7×24小时的技术支持服务；</w:t>
      </w:r>
    </w:p>
    <w:p>
      <w:pPr>
        <w:spacing w:line="360" w:lineRule="auto"/>
        <w:ind w:firstLine="420" w:firstLineChars="200"/>
        <w:rPr>
          <w:szCs w:val="21"/>
        </w:rPr>
      </w:pPr>
      <w:r>
        <w:rPr>
          <w:rFonts w:hint="eastAsia"/>
          <w:szCs w:val="21"/>
        </w:rPr>
        <w:t>3、接到软件故障通知后若无法远程解决，8小时内到达现场处理，并在到达现场24</w:t>
      </w:r>
    </w:p>
    <w:p>
      <w:pPr>
        <w:spacing w:line="360" w:lineRule="auto"/>
        <w:ind w:firstLine="420" w:firstLineChars="200"/>
        <w:rPr>
          <w:szCs w:val="21"/>
        </w:rPr>
      </w:pPr>
      <w:r>
        <w:rPr>
          <w:rFonts w:hint="eastAsia"/>
          <w:szCs w:val="21"/>
        </w:rPr>
        <w:t>小时内解决；</w:t>
      </w:r>
    </w:p>
    <w:p>
      <w:pPr>
        <w:spacing w:line="360" w:lineRule="auto"/>
        <w:ind w:firstLine="420" w:firstLineChars="200"/>
        <w:rPr>
          <w:szCs w:val="21"/>
        </w:rPr>
      </w:pPr>
      <w:r>
        <w:rPr>
          <w:rFonts w:hint="eastAsia"/>
          <w:szCs w:val="21"/>
        </w:rPr>
        <w:t>4、超过质保期的升级费用不高于本软件购买成本的10%；</w:t>
      </w:r>
    </w:p>
    <w:p>
      <w:pPr>
        <w:spacing w:line="360" w:lineRule="auto"/>
        <w:ind w:firstLine="420" w:firstLineChars="200"/>
        <w:rPr>
          <w:szCs w:val="21"/>
        </w:rPr>
      </w:pPr>
      <w:r>
        <w:rPr>
          <w:rFonts w:hint="eastAsia"/>
          <w:szCs w:val="21"/>
        </w:rPr>
        <w:t>5、解答有关技术的所有询问；</w:t>
      </w:r>
    </w:p>
    <w:p>
      <w:pPr>
        <w:spacing w:line="360" w:lineRule="auto"/>
        <w:ind w:firstLine="420" w:firstLineChars="200"/>
        <w:rPr>
          <w:szCs w:val="21"/>
        </w:rPr>
      </w:pPr>
      <w:r>
        <w:rPr>
          <w:rFonts w:hint="eastAsia"/>
          <w:szCs w:val="21"/>
        </w:rPr>
        <w:t>6、电话传真咨询顾问服务；</w:t>
      </w:r>
    </w:p>
    <w:p>
      <w:pPr>
        <w:spacing w:line="360" w:lineRule="auto"/>
        <w:ind w:firstLine="420" w:firstLineChars="200"/>
        <w:rPr>
          <w:szCs w:val="21"/>
        </w:rPr>
      </w:pPr>
      <w:r>
        <w:rPr>
          <w:rFonts w:hint="eastAsia"/>
          <w:szCs w:val="21"/>
        </w:rPr>
        <w:t>7、电子邮件咨询服务；</w:t>
      </w:r>
    </w:p>
    <w:p>
      <w:pPr>
        <w:spacing w:line="360" w:lineRule="auto"/>
        <w:ind w:firstLine="420" w:firstLineChars="200"/>
        <w:rPr>
          <w:szCs w:val="21"/>
        </w:rPr>
      </w:pPr>
      <w:r>
        <w:rPr>
          <w:rFonts w:hint="eastAsia"/>
          <w:szCs w:val="21"/>
        </w:rPr>
        <w:t>8、远程支持服务。</w:t>
      </w:r>
    </w:p>
    <w:p>
      <w:pPr>
        <w:spacing w:line="360" w:lineRule="auto"/>
        <w:ind w:firstLine="420" w:firstLineChars="200"/>
        <w:rPr>
          <w:szCs w:val="21"/>
        </w:rPr>
      </w:pPr>
    </w:p>
    <w:p>
      <w:pPr>
        <w:spacing w:line="360" w:lineRule="auto"/>
        <w:ind w:firstLine="420" w:firstLineChars="200"/>
        <w:rPr>
          <w:szCs w:val="21"/>
        </w:rPr>
      </w:pPr>
      <w:r>
        <w:rPr>
          <w:rFonts w:hint="eastAsia"/>
          <w:szCs w:val="21"/>
        </w:rPr>
        <w:t>（三）功能要求</w:t>
      </w:r>
    </w:p>
    <w:p>
      <w:pPr>
        <w:spacing w:line="360" w:lineRule="auto"/>
        <w:ind w:firstLine="420" w:firstLineChars="200"/>
        <w:rPr>
          <w:szCs w:val="21"/>
        </w:rPr>
      </w:pPr>
      <w:r>
        <w:rPr>
          <w:rFonts w:hint="eastAsia"/>
          <w:szCs w:val="21"/>
        </w:rPr>
        <w:t>一）平台模拟会计师事务所对企业会计年报进行完整的审计流程，包含审计计划阶段、风险评估阶段、控制测试阶段、实质性测试阶段、审计报告阶段，具体模拟编制如下：</w:t>
      </w:r>
    </w:p>
    <w:p>
      <w:pPr>
        <w:spacing w:line="360" w:lineRule="auto"/>
        <w:ind w:firstLine="420" w:firstLineChars="200"/>
        <w:rPr>
          <w:szCs w:val="21"/>
        </w:rPr>
      </w:pPr>
      <w:r>
        <w:rPr>
          <w:rFonts w:hint="eastAsia"/>
          <w:szCs w:val="21"/>
        </w:rPr>
        <w:t>1、审计计划阶段：审计业务约定书、总体审计策略、具体审计计划、重要性水平估算表等。</w:t>
      </w:r>
    </w:p>
    <w:p>
      <w:pPr>
        <w:spacing w:line="360" w:lineRule="auto"/>
        <w:ind w:firstLine="420" w:firstLineChars="200"/>
        <w:rPr>
          <w:szCs w:val="21"/>
        </w:rPr>
      </w:pPr>
      <w:r>
        <w:rPr>
          <w:rFonts w:hint="eastAsia"/>
          <w:szCs w:val="21"/>
        </w:rPr>
        <w:t>2、风险评估阶段：项目组讨论纪要、了解被审计单位及其环境、整体层面了解和评价内部控制、业务层面了解和评价内部控制等。</w:t>
      </w:r>
    </w:p>
    <w:p>
      <w:pPr>
        <w:spacing w:line="360" w:lineRule="auto"/>
        <w:ind w:firstLine="420" w:firstLineChars="200"/>
        <w:rPr>
          <w:szCs w:val="21"/>
        </w:rPr>
      </w:pPr>
      <w:r>
        <w:rPr>
          <w:rFonts w:hint="eastAsia"/>
          <w:szCs w:val="21"/>
        </w:rPr>
        <w:t>3、控制测试阶段：采购和付款循环、生产与仓储循环、筹资与投资循环、工薪与人事循环等。</w:t>
      </w:r>
    </w:p>
    <w:p>
      <w:pPr>
        <w:spacing w:line="360" w:lineRule="auto"/>
        <w:ind w:firstLine="420" w:firstLineChars="200"/>
        <w:rPr>
          <w:szCs w:val="21"/>
        </w:rPr>
      </w:pPr>
      <w:r>
        <w:rPr>
          <w:rFonts w:hint="eastAsia"/>
          <w:szCs w:val="21"/>
        </w:rPr>
        <w:t>4、实质性测试阶段：销售和收款循环审计、采购和付款循环审计、生产和存货循环审计、人力资源与工薪循环、投资和筹资循环审计、货币资金循环等。</w:t>
      </w:r>
    </w:p>
    <w:p>
      <w:pPr>
        <w:spacing w:line="360" w:lineRule="auto"/>
        <w:ind w:firstLine="420" w:firstLineChars="200"/>
        <w:rPr>
          <w:rFonts w:hint="eastAsia"/>
          <w:szCs w:val="21"/>
        </w:rPr>
      </w:pPr>
      <w:r>
        <w:rPr>
          <w:rFonts w:hint="eastAsia"/>
          <w:szCs w:val="21"/>
        </w:rPr>
        <w:t>5、审计调整分录汇总：根据工作底稿，编制调整分录等。</w:t>
      </w:r>
    </w:p>
    <w:p>
      <w:pPr>
        <w:spacing w:line="360" w:lineRule="auto"/>
        <w:ind w:firstLine="420" w:firstLineChars="200"/>
        <w:rPr>
          <w:rFonts w:hint="eastAsia"/>
          <w:szCs w:val="21"/>
        </w:rPr>
      </w:pPr>
      <w:r>
        <w:rPr>
          <w:rFonts w:hint="eastAsia"/>
          <w:szCs w:val="21"/>
        </w:rPr>
        <w:t>6、试算平衡表：根据审计调整分录汇总，对资产负债表、利润表、所有者权益变动表、现金流量表进行试算平衡。</w:t>
      </w:r>
    </w:p>
    <w:p>
      <w:pPr>
        <w:spacing w:line="360" w:lineRule="auto"/>
        <w:ind w:firstLine="420" w:firstLineChars="200"/>
        <w:rPr>
          <w:rFonts w:hint="eastAsia"/>
          <w:szCs w:val="21"/>
        </w:rPr>
      </w:pPr>
      <w:r>
        <w:rPr>
          <w:rFonts w:hint="eastAsia"/>
          <w:szCs w:val="21"/>
        </w:rPr>
        <w:t>7、审计报告阶段：根据前面的信息，编制审计报告。</w:t>
      </w:r>
    </w:p>
    <w:p>
      <w:pPr>
        <w:spacing w:line="360" w:lineRule="auto"/>
        <w:ind w:firstLine="420" w:firstLineChars="200"/>
        <w:rPr>
          <w:rFonts w:hint="eastAsia"/>
          <w:szCs w:val="21"/>
        </w:rPr>
      </w:pPr>
      <w:r>
        <w:rPr>
          <w:rFonts w:hint="eastAsia"/>
          <w:szCs w:val="21"/>
        </w:rPr>
        <w:t>二）综合实训要求</w:t>
      </w:r>
    </w:p>
    <w:p>
      <w:pPr>
        <w:spacing w:line="360" w:lineRule="auto"/>
        <w:ind w:firstLine="420" w:firstLineChars="200"/>
        <w:rPr>
          <w:rFonts w:hint="eastAsia"/>
          <w:szCs w:val="21"/>
        </w:rPr>
      </w:pPr>
      <w:r>
        <w:rPr>
          <w:rFonts w:hint="eastAsia"/>
          <w:szCs w:val="21"/>
        </w:rPr>
        <w:t>提供不少于5个相互独立的、相对完整的、不同类型企业的、可通过计算机审计完成的综合实训。</w:t>
      </w:r>
    </w:p>
    <w:p>
      <w:pPr>
        <w:spacing w:line="360" w:lineRule="auto"/>
        <w:ind w:firstLine="420" w:firstLineChars="200"/>
        <w:rPr>
          <w:rFonts w:hint="eastAsia"/>
          <w:szCs w:val="21"/>
        </w:rPr>
      </w:pPr>
      <w:r>
        <w:rPr>
          <w:rFonts w:hint="eastAsia"/>
          <w:szCs w:val="21"/>
        </w:rPr>
        <w:t>1、制造业审计业务。</w:t>
      </w:r>
    </w:p>
    <w:p>
      <w:pPr>
        <w:spacing w:line="360" w:lineRule="auto"/>
        <w:ind w:firstLine="420" w:firstLineChars="200"/>
        <w:rPr>
          <w:rFonts w:hint="eastAsia"/>
          <w:szCs w:val="21"/>
        </w:rPr>
      </w:pPr>
      <w:r>
        <w:rPr>
          <w:rFonts w:hint="eastAsia"/>
          <w:szCs w:val="21"/>
        </w:rPr>
        <w:t>2、商品流通企业审计业务。</w:t>
      </w:r>
    </w:p>
    <w:p>
      <w:pPr>
        <w:spacing w:line="360" w:lineRule="auto"/>
        <w:ind w:firstLine="420" w:firstLineChars="200"/>
        <w:rPr>
          <w:rFonts w:hint="eastAsia"/>
          <w:szCs w:val="21"/>
        </w:rPr>
      </w:pPr>
      <w:r>
        <w:rPr>
          <w:rFonts w:hint="eastAsia"/>
          <w:szCs w:val="21"/>
        </w:rPr>
        <w:t>3、饮食服务业审计业务。</w:t>
      </w:r>
    </w:p>
    <w:p>
      <w:pPr>
        <w:spacing w:line="360" w:lineRule="auto"/>
        <w:ind w:firstLine="420" w:firstLineChars="200"/>
        <w:rPr>
          <w:rFonts w:hint="eastAsia"/>
          <w:szCs w:val="21"/>
        </w:rPr>
      </w:pPr>
      <w:r>
        <w:rPr>
          <w:rFonts w:hint="eastAsia"/>
          <w:szCs w:val="21"/>
        </w:rPr>
        <w:t>4、小规模纳税人企业审计业务。</w:t>
      </w:r>
    </w:p>
    <w:p>
      <w:pPr>
        <w:spacing w:line="360" w:lineRule="auto"/>
        <w:ind w:firstLine="420" w:firstLineChars="200"/>
        <w:rPr>
          <w:rFonts w:hint="eastAsia"/>
          <w:szCs w:val="21"/>
        </w:rPr>
      </w:pPr>
      <w:r>
        <w:rPr>
          <w:rFonts w:hint="eastAsia"/>
          <w:szCs w:val="21"/>
        </w:rPr>
        <w:t>5、事业单位或行政单位或非营利组织审计业务</w:t>
      </w:r>
    </w:p>
    <w:p>
      <w:pPr>
        <w:spacing w:line="360" w:lineRule="auto"/>
        <w:ind w:firstLine="420" w:firstLineChars="200"/>
        <w:rPr>
          <w:rFonts w:hint="eastAsia"/>
          <w:szCs w:val="21"/>
        </w:rPr>
      </w:pPr>
      <w:r>
        <w:rPr>
          <w:rFonts w:hint="eastAsia"/>
          <w:szCs w:val="21"/>
        </w:rPr>
        <w:t>三）理论考试功能</w:t>
      </w:r>
    </w:p>
    <w:p>
      <w:pPr>
        <w:spacing w:line="360" w:lineRule="auto"/>
        <w:ind w:firstLine="420" w:firstLineChars="200"/>
        <w:rPr>
          <w:rFonts w:hint="eastAsia"/>
          <w:szCs w:val="21"/>
        </w:rPr>
      </w:pPr>
      <w:r>
        <w:rPr>
          <w:rFonts w:hint="eastAsia"/>
          <w:szCs w:val="21"/>
        </w:rPr>
        <w:t>1、单元测试功能。可满足选择（单选、多选）、判断、计算实务题型的考试，能自动评分，能导出学生答题的试卷。</w:t>
      </w:r>
    </w:p>
    <w:p>
      <w:pPr>
        <w:spacing w:line="360" w:lineRule="auto"/>
        <w:ind w:firstLine="420" w:firstLineChars="200"/>
        <w:rPr>
          <w:rFonts w:hint="eastAsia"/>
          <w:szCs w:val="21"/>
        </w:rPr>
      </w:pPr>
      <w:r>
        <w:rPr>
          <w:rFonts w:hint="eastAsia"/>
          <w:szCs w:val="21"/>
        </w:rPr>
        <w:t>2、综合考试功能。可满足选择（单选、多选）、判断、计算实务题型的考试，能自动评分，能导出学生答题的试卷。</w:t>
      </w:r>
    </w:p>
    <w:p>
      <w:pPr>
        <w:pStyle w:val="9"/>
        <w:ind w:firstLine="420"/>
      </w:pPr>
    </w:p>
    <w:p>
      <w:pPr>
        <w:spacing w:line="360" w:lineRule="auto"/>
        <w:ind w:firstLine="420" w:firstLineChars="200"/>
        <w:rPr>
          <w:szCs w:val="21"/>
        </w:rPr>
      </w:pPr>
    </w:p>
    <w:p>
      <w:pPr>
        <w:spacing w:line="360" w:lineRule="auto"/>
        <w:ind w:firstLine="420" w:firstLineChars="200"/>
        <w:rPr>
          <w:szCs w:val="21"/>
        </w:rPr>
      </w:pPr>
      <w:r>
        <w:rPr>
          <w:rFonts w:hint="eastAsia"/>
          <w:szCs w:val="21"/>
        </w:rPr>
        <w:t>（四）售后服务要求</w:t>
      </w:r>
    </w:p>
    <w:p>
      <w:pPr>
        <w:spacing w:line="360" w:lineRule="auto"/>
        <w:ind w:firstLine="420" w:firstLineChars="200"/>
        <w:rPr>
          <w:szCs w:val="21"/>
        </w:rPr>
      </w:pPr>
      <w:r>
        <w:rPr>
          <w:rFonts w:hint="eastAsia"/>
          <w:szCs w:val="21"/>
        </w:rPr>
        <w:t>交货时间：合同签订后15天内由厂商提供免费安装调试服务。</w:t>
      </w:r>
    </w:p>
    <w:p>
      <w:pPr>
        <w:spacing w:line="360" w:lineRule="auto"/>
        <w:ind w:firstLine="420" w:firstLineChars="200"/>
        <w:rPr>
          <w:szCs w:val="21"/>
        </w:rPr>
      </w:pPr>
    </w:p>
    <w:p>
      <w:pPr>
        <w:rPr>
          <w:szCs w:val="21"/>
        </w:rPr>
      </w:pPr>
    </w:p>
    <w:p>
      <w:pPr>
        <w:rPr>
          <w:szCs w:val="21"/>
        </w:rPr>
      </w:pPr>
    </w:p>
    <w:p>
      <w:pPr>
        <w:rPr>
          <w:rFonts w:asciiTheme="minorEastAsia" w:hAnsiTheme="minorEastAsia" w:eastAsiaTheme="minorEastAsia"/>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pStyle w:val="17"/>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7"/>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start"/>
      <w:bookmarkEnd w:id="39"/>
      <w:bookmarkStart w:id="40" w:name="purchase_name"/>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w:t>
      </w:r>
      <w:r>
        <w:rPr>
          <w:rFonts w:hint="eastAsia" w:ascii="宋体" w:hAnsi="宋体"/>
          <w:sz w:val="24"/>
          <w:u w:val="single"/>
        </w:rPr>
        <w:t xml:space="preserve">25 </w:t>
      </w:r>
      <w:r>
        <w:rPr>
          <w:rFonts w:hint="eastAsia" w:ascii="宋体" w:hAnsi="宋体"/>
          <w:sz w:val="24"/>
        </w:rPr>
        <w:t>的</w:t>
      </w:r>
      <w:r>
        <w:rPr>
          <w:rFonts w:hint="eastAsia" w:ascii="宋体" w:hAnsi="宋体"/>
          <w:sz w:val="24"/>
          <w:u w:val="single"/>
        </w:rPr>
        <w:t>商学院审计实训平台软件</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6"/>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3" w:name="Ord_Seq_Name"/>
            <w:bookmarkEnd w:id="43"/>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5" w:name="Cus_Usr"/>
            <w:bookmarkEnd w:id="45"/>
          </w:p>
          <w:p>
            <w:pPr>
              <w:spacing w:line="360" w:lineRule="auto"/>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Spr_Usr"/>
            <w:bookmarkEnd w:id="48"/>
          </w:p>
          <w:p>
            <w:pPr>
              <w:spacing w:line="360" w:lineRule="auto"/>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name_one"/>
      <w:bookmarkEnd w:id="52"/>
      <w:bookmarkStart w:id="53" w:name="purchase_one_start"/>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7"/>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7"/>
        <w:rPr>
          <w:rFonts w:hAnsi="宋体"/>
          <w:szCs w:val="21"/>
        </w:rPr>
      </w:pPr>
      <w:r>
        <w:rPr>
          <w:rFonts w:hAnsi="宋体"/>
          <w:b/>
          <w:bCs/>
          <w:szCs w:val="21"/>
        </w:rPr>
        <w:pict>
          <v:shape id="Text Box 344" o:spid="_x0000_s1028"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path/>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w:r>
      <w:r>
        <w:rPr>
          <w:rFonts w:hAnsi="宋体"/>
          <w:szCs w:val="21"/>
        </w:rPr>
        <w:t>(请按照以下文件的要求格式、内容，顺序制作投标文件，并请编制目录及页码，否则可能将影响对投标文件的评价。)</w:t>
      </w:r>
    </w:p>
    <w:p>
      <w:pPr>
        <w:pStyle w:val="17"/>
        <w:rPr>
          <w:rFonts w:hAnsi="宋体"/>
          <w:b/>
          <w:bCs/>
          <w:szCs w:val="21"/>
        </w:rPr>
      </w:pPr>
    </w:p>
    <w:p>
      <w:pPr>
        <w:pStyle w:val="17"/>
        <w:jc w:val="center"/>
        <w:rPr>
          <w:rFonts w:hAnsi="宋体"/>
          <w:sz w:val="84"/>
          <w:szCs w:val="84"/>
        </w:rPr>
      </w:pPr>
    </w:p>
    <w:p>
      <w:pPr>
        <w:pStyle w:val="17"/>
        <w:jc w:val="center"/>
        <w:rPr>
          <w:rFonts w:hAnsi="宋体"/>
          <w:sz w:val="84"/>
          <w:szCs w:val="84"/>
        </w:rPr>
      </w:pPr>
      <w:r>
        <w:rPr>
          <w:rFonts w:hAnsi="宋体"/>
          <w:sz w:val="84"/>
          <w:szCs w:val="84"/>
        </w:rPr>
        <w:t>投标文件</w:t>
      </w:r>
    </w:p>
    <w:p>
      <w:pPr>
        <w:pStyle w:val="17"/>
        <w:rPr>
          <w:rFonts w:hAnsi="宋体"/>
          <w:b/>
          <w:bCs/>
          <w:szCs w:val="21"/>
        </w:rPr>
      </w:pPr>
    </w:p>
    <w:p>
      <w:pPr>
        <w:pStyle w:val="17"/>
        <w:rPr>
          <w:rFonts w:hAnsi="宋体"/>
          <w:b/>
          <w:bCs/>
          <w:szCs w:val="21"/>
        </w:rPr>
      </w:pPr>
    </w:p>
    <w:p>
      <w:pPr>
        <w:pStyle w:val="17"/>
        <w:rPr>
          <w:rFonts w:hAnsi="宋体"/>
          <w:b/>
          <w:bCs/>
          <w:szCs w:val="21"/>
        </w:rPr>
      </w:pPr>
    </w:p>
    <w:p>
      <w:pPr>
        <w:pStyle w:val="17"/>
        <w:rPr>
          <w:rFonts w:hAnsi="宋体"/>
          <w:b/>
          <w:bCs/>
          <w:szCs w:val="21"/>
        </w:rPr>
      </w:pPr>
    </w:p>
    <w:p>
      <w:pPr>
        <w:pStyle w:val="17"/>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7"/>
        <w:ind w:firstLine="2142" w:firstLineChars="595"/>
        <w:rPr>
          <w:rFonts w:hAnsi="宋体"/>
          <w:sz w:val="36"/>
          <w:szCs w:val="36"/>
          <w:lang w:val="pt-BR"/>
        </w:rPr>
      </w:pPr>
    </w:p>
    <w:p>
      <w:pPr>
        <w:pStyle w:val="17"/>
        <w:rPr>
          <w:rFonts w:hAnsi="宋体"/>
          <w:sz w:val="36"/>
          <w:szCs w:val="36"/>
          <w:lang w:val="pt-BR"/>
        </w:rPr>
      </w:pPr>
    </w:p>
    <w:p>
      <w:pPr>
        <w:pStyle w:val="17"/>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7"/>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1"/>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7"/>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7"/>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7"/>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7"/>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7"/>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7"/>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7"/>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7"/>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7"/>
        <w:numPr>
          <w:ilvl w:val="0"/>
          <w:numId w:val="6"/>
        </w:numPr>
        <w:jc w:val="center"/>
        <w:rPr>
          <w:rFonts w:hAnsi="宋体"/>
          <w:sz w:val="36"/>
          <w:szCs w:val="36"/>
        </w:rPr>
      </w:pPr>
      <w:bookmarkStart w:id="57"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大写：</w:t>
            </w:r>
          </w:p>
          <w:p>
            <w:pPr>
              <w:pStyle w:val="17"/>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r>
              <w:rPr>
                <w:rFonts w:hint="eastAsia" w:hAnsi="宋体"/>
                <w:szCs w:val="21"/>
              </w:rPr>
              <w:t>主要货物</w:t>
            </w:r>
          </w:p>
          <w:p>
            <w:pPr>
              <w:pStyle w:val="17"/>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7"/>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57"/>
      <w:bookmarkStart w:id="58" w:name="_Toc157775469"/>
      <w:r>
        <w:rPr>
          <w:rFonts w:ascii="宋体" w:hAnsi="宋体"/>
          <w:b/>
          <w:sz w:val="36"/>
          <w:szCs w:val="36"/>
        </w:rPr>
        <w:t>产品质保及服务承诺书</w:t>
      </w:r>
      <w:bookmarkStart w:id="59" w:name="_Toc417892821"/>
    </w:p>
    <w:p>
      <w:pPr>
        <w:ind w:firstLine="1575" w:firstLineChars="750"/>
        <w:rPr>
          <w:rFonts w:ascii="宋体" w:hAnsi="宋体"/>
          <w:szCs w:val="21"/>
        </w:rPr>
      </w:pPr>
      <w:r>
        <w:rPr>
          <w:rFonts w:ascii="宋体" w:hAnsi="宋体"/>
          <w:szCs w:val="21"/>
        </w:rPr>
        <w:t>（格式由投标人自定、加盖投标人公章）</w:t>
      </w:r>
      <w:bookmarkEnd w:id="59"/>
    </w:p>
    <w:p>
      <w:pPr>
        <w:pStyle w:val="17"/>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7"/>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7"/>
        <w:spacing w:line="360" w:lineRule="auto"/>
        <w:jc w:val="left"/>
        <w:rPr>
          <w:rFonts w:hAnsi="宋体"/>
          <w:szCs w:val="21"/>
        </w:rPr>
      </w:pPr>
    </w:p>
    <w:bookmarkEnd w:id="58"/>
    <w:p>
      <w:pPr>
        <w:ind w:firstLine="1995" w:firstLineChars="950"/>
        <w:rPr>
          <w:rFonts w:ascii="宋体" w:hAnsi="宋体"/>
          <w:szCs w:val="21"/>
        </w:rPr>
      </w:pPr>
    </w:p>
    <w:p>
      <w:pPr>
        <w:pStyle w:val="17"/>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w:t>
      </w:r>
      <w:r>
        <w:rPr>
          <w:rFonts w:hint="eastAsia" w:ascii="宋体" w:hAnsi="宋体"/>
          <w:szCs w:val="21"/>
          <w:lang w:val="en-US" w:eastAsia="zh-CN"/>
        </w:rPr>
        <w:t>应与招标项目相关</w:t>
      </w:r>
      <w:r>
        <w:rPr>
          <w:rFonts w:hint="eastAsia" w:ascii="宋体" w:hAnsi="宋体"/>
          <w:szCs w:val="21"/>
        </w:rPr>
        <w:t>；</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hint="eastAsia" w:ascii="宋体" w:hAnsi="宋体"/>
          <w:b/>
          <w:sz w:val="36"/>
          <w:szCs w:val="36"/>
        </w:rPr>
      </w:pPr>
      <w:r>
        <w:rPr>
          <w:rFonts w:hint="eastAsia" w:ascii="宋体" w:hAnsi="宋体"/>
          <w:b/>
          <w:sz w:val="36"/>
          <w:szCs w:val="36"/>
        </w:rPr>
        <w:t>授权委托书</w:t>
      </w:r>
    </w:p>
    <w:p>
      <w:pPr>
        <w:jc w:val="center"/>
        <w:rPr>
          <w:rFonts w:hint="eastAsia"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hint="eastAsia"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hint="eastAsia" w:ascii="宋体" w:hAnsi="宋体"/>
          <w:szCs w:val="21"/>
        </w:rPr>
      </w:pPr>
    </w:p>
    <w:p>
      <w:pPr>
        <w:spacing w:line="440" w:lineRule="exact"/>
        <w:rPr>
          <w:rFonts w:ascii="宋体" w:hAnsi="宋体"/>
          <w:szCs w:val="21"/>
        </w:rPr>
      </w:pPr>
      <w:r>
        <w:rPr>
          <w:rFonts w:ascii="宋体" w:hAnsi="宋体"/>
          <w:szCs w:val="21"/>
        </w:rPr>
        <w:pict>
          <v:shape id="Text Box 2" o:spid="_x0000_s1029"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path/>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hint="eastAsia"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hint="eastAsia"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u w:val="none"/>
        </w:rPr>
        <w:t xml:space="preserve"> </w:t>
      </w:r>
      <w:r>
        <w:rPr>
          <w:rFonts w:hint="eastAsia" w:ascii="宋体"/>
          <w:u w:val="none"/>
          <w:lang w:val="en-US" w:eastAsia="zh-CN"/>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6"/>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7"/>
              <w:spacing w:line="360" w:lineRule="auto"/>
              <w:jc w:val="center"/>
              <w:rPr>
                <w:rFonts w:hAnsi="宋体" w:cs="Arial"/>
                <w:sz w:val="24"/>
              </w:rPr>
            </w:pPr>
            <w:r>
              <w:rPr>
                <w:rFonts w:hint="eastAsia" w:hAnsi="宋体" w:cs="Arial"/>
                <w:sz w:val="24"/>
              </w:rPr>
              <w:t>序号</w:t>
            </w:r>
          </w:p>
        </w:tc>
        <w:tc>
          <w:tcPr>
            <w:tcW w:w="1902" w:type="dxa"/>
            <w:vAlign w:val="center"/>
          </w:tcPr>
          <w:p>
            <w:pPr>
              <w:pStyle w:val="17"/>
              <w:spacing w:line="360" w:lineRule="auto"/>
              <w:jc w:val="center"/>
              <w:rPr>
                <w:rFonts w:hAnsi="宋体" w:cs="Arial"/>
                <w:sz w:val="24"/>
              </w:rPr>
            </w:pPr>
            <w:r>
              <w:rPr>
                <w:rFonts w:hint="eastAsia" w:hAnsi="宋体" w:cs="Arial"/>
                <w:sz w:val="24"/>
              </w:rPr>
              <w:t>货物名称</w:t>
            </w:r>
          </w:p>
        </w:tc>
        <w:tc>
          <w:tcPr>
            <w:tcW w:w="1548" w:type="dxa"/>
            <w:vAlign w:val="center"/>
          </w:tcPr>
          <w:p>
            <w:pPr>
              <w:pStyle w:val="17"/>
              <w:spacing w:line="360" w:lineRule="auto"/>
              <w:jc w:val="center"/>
              <w:rPr>
                <w:rFonts w:hAnsi="宋体" w:cs="Arial"/>
                <w:sz w:val="24"/>
              </w:rPr>
            </w:pPr>
            <w:r>
              <w:rPr>
                <w:rFonts w:hint="eastAsia" w:hAnsi="宋体" w:cs="Arial"/>
                <w:sz w:val="24"/>
              </w:rPr>
              <w:t>招标要求</w:t>
            </w:r>
          </w:p>
        </w:tc>
        <w:tc>
          <w:tcPr>
            <w:tcW w:w="3272" w:type="dxa"/>
            <w:vAlign w:val="center"/>
          </w:tcPr>
          <w:p>
            <w:pPr>
              <w:pStyle w:val="17"/>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7"/>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7"/>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7"/>
              <w:spacing w:line="360" w:lineRule="auto"/>
              <w:rPr>
                <w:rFonts w:ascii="楷体_GB2312" w:hAnsi="Times New Roman" w:eastAsia="楷体_GB2312"/>
                <w:sz w:val="24"/>
              </w:rPr>
            </w:pPr>
          </w:p>
        </w:tc>
        <w:tc>
          <w:tcPr>
            <w:tcW w:w="1902" w:type="dxa"/>
            <w:vAlign w:val="top"/>
          </w:tcPr>
          <w:p>
            <w:pPr>
              <w:pStyle w:val="17"/>
              <w:spacing w:line="360" w:lineRule="auto"/>
              <w:rPr>
                <w:rFonts w:ascii="楷体_GB2312" w:hAnsi="Times New Roman" w:eastAsia="楷体_GB2312"/>
                <w:sz w:val="24"/>
              </w:rPr>
            </w:pPr>
          </w:p>
        </w:tc>
        <w:tc>
          <w:tcPr>
            <w:tcW w:w="1548" w:type="dxa"/>
            <w:vAlign w:val="top"/>
          </w:tcPr>
          <w:p>
            <w:pPr>
              <w:pStyle w:val="17"/>
              <w:spacing w:line="360" w:lineRule="auto"/>
              <w:rPr>
                <w:rFonts w:ascii="楷体_GB2312" w:hAnsi="Times New Roman" w:eastAsia="楷体_GB2312"/>
                <w:sz w:val="24"/>
              </w:rPr>
            </w:pPr>
          </w:p>
        </w:tc>
        <w:tc>
          <w:tcPr>
            <w:tcW w:w="3272" w:type="dxa"/>
            <w:vAlign w:val="top"/>
          </w:tcPr>
          <w:p>
            <w:pPr>
              <w:pStyle w:val="17"/>
              <w:spacing w:line="360" w:lineRule="auto"/>
              <w:rPr>
                <w:rFonts w:ascii="楷体_GB2312" w:hAnsi="Times New Roman" w:eastAsia="楷体_GB2312"/>
                <w:sz w:val="24"/>
              </w:rPr>
            </w:pPr>
          </w:p>
        </w:tc>
        <w:tc>
          <w:tcPr>
            <w:tcW w:w="1381" w:type="dxa"/>
            <w:vAlign w:val="top"/>
          </w:tcPr>
          <w:p>
            <w:pPr>
              <w:pStyle w:val="17"/>
              <w:spacing w:line="360" w:lineRule="auto"/>
              <w:rPr>
                <w:rFonts w:ascii="楷体_GB2312" w:hAnsi="Times New Roman" w:eastAsia="楷体_GB2312"/>
                <w:sz w:val="24"/>
              </w:rPr>
            </w:pPr>
          </w:p>
        </w:tc>
        <w:tc>
          <w:tcPr>
            <w:tcW w:w="745" w:type="dxa"/>
            <w:vAlign w:val="top"/>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7"/>
              <w:spacing w:line="360" w:lineRule="auto"/>
              <w:rPr>
                <w:rFonts w:ascii="楷体_GB2312" w:hAnsi="Times New Roman" w:eastAsia="楷体_GB2312"/>
                <w:sz w:val="24"/>
              </w:rPr>
            </w:pPr>
          </w:p>
        </w:tc>
        <w:tc>
          <w:tcPr>
            <w:tcW w:w="1902" w:type="dxa"/>
            <w:vAlign w:val="top"/>
          </w:tcPr>
          <w:p>
            <w:pPr>
              <w:pStyle w:val="17"/>
              <w:spacing w:line="360" w:lineRule="auto"/>
              <w:rPr>
                <w:rFonts w:ascii="楷体_GB2312" w:hAnsi="Times New Roman" w:eastAsia="楷体_GB2312"/>
                <w:sz w:val="24"/>
              </w:rPr>
            </w:pPr>
          </w:p>
        </w:tc>
        <w:tc>
          <w:tcPr>
            <w:tcW w:w="1548" w:type="dxa"/>
            <w:vAlign w:val="top"/>
          </w:tcPr>
          <w:p>
            <w:pPr>
              <w:pStyle w:val="17"/>
              <w:spacing w:line="360" w:lineRule="auto"/>
              <w:rPr>
                <w:rFonts w:ascii="楷体_GB2312" w:hAnsi="Times New Roman" w:eastAsia="楷体_GB2312"/>
                <w:sz w:val="24"/>
              </w:rPr>
            </w:pPr>
          </w:p>
        </w:tc>
        <w:tc>
          <w:tcPr>
            <w:tcW w:w="3272" w:type="dxa"/>
            <w:vAlign w:val="top"/>
          </w:tcPr>
          <w:p>
            <w:pPr>
              <w:pStyle w:val="17"/>
              <w:spacing w:line="360" w:lineRule="auto"/>
              <w:rPr>
                <w:rFonts w:ascii="楷体_GB2312" w:hAnsi="Times New Roman" w:eastAsia="楷体_GB2312"/>
                <w:sz w:val="24"/>
              </w:rPr>
            </w:pPr>
          </w:p>
        </w:tc>
        <w:tc>
          <w:tcPr>
            <w:tcW w:w="1381" w:type="dxa"/>
            <w:vAlign w:val="top"/>
          </w:tcPr>
          <w:p>
            <w:pPr>
              <w:pStyle w:val="17"/>
              <w:spacing w:line="360" w:lineRule="auto"/>
              <w:rPr>
                <w:rFonts w:ascii="楷体_GB2312" w:hAnsi="Times New Roman" w:eastAsia="楷体_GB2312"/>
                <w:sz w:val="24"/>
              </w:rPr>
            </w:pPr>
          </w:p>
        </w:tc>
        <w:tc>
          <w:tcPr>
            <w:tcW w:w="745" w:type="dxa"/>
            <w:vAlign w:val="top"/>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7"/>
              <w:spacing w:line="360" w:lineRule="auto"/>
              <w:rPr>
                <w:rFonts w:ascii="楷体_GB2312" w:hAnsi="Times New Roman" w:eastAsia="楷体_GB2312"/>
                <w:sz w:val="24"/>
              </w:rPr>
            </w:pPr>
          </w:p>
        </w:tc>
        <w:tc>
          <w:tcPr>
            <w:tcW w:w="1902" w:type="dxa"/>
            <w:vAlign w:val="top"/>
          </w:tcPr>
          <w:p>
            <w:pPr>
              <w:pStyle w:val="17"/>
              <w:spacing w:line="360" w:lineRule="auto"/>
              <w:rPr>
                <w:rFonts w:ascii="楷体_GB2312" w:hAnsi="Times New Roman" w:eastAsia="楷体_GB2312"/>
                <w:sz w:val="24"/>
              </w:rPr>
            </w:pPr>
          </w:p>
        </w:tc>
        <w:tc>
          <w:tcPr>
            <w:tcW w:w="1548" w:type="dxa"/>
            <w:vAlign w:val="top"/>
          </w:tcPr>
          <w:p>
            <w:pPr>
              <w:pStyle w:val="17"/>
              <w:spacing w:line="360" w:lineRule="auto"/>
              <w:rPr>
                <w:rFonts w:ascii="楷体_GB2312" w:hAnsi="Times New Roman" w:eastAsia="楷体_GB2312"/>
                <w:sz w:val="24"/>
              </w:rPr>
            </w:pPr>
          </w:p>
        </w:tc>
        <w:tc>
          <w:tcPr>
            <w:tcW w:w="3272" w:type="dxa"/>
            <w:vAlign w:val="top"/>
          </w:tcPr>
          <w:p>
            <w:pPr>
              <w:pStyle w:val="17"/>
              <w:spacing w:line="360" w:lineRule="auto"/>
              <w:rPr>
                <w:rFonts w:ascii="楷体_GB2312" w:hAnsi="Times New Roman" w:eastAsia="楷体_GB2312"/>
                <w:sz w:val="24"/>
              </w:rPr>
            </w:pPr>
          </w:p>
        </w:tc>
        <w:tc>
          <w:tcPr>
            <w:tcW w:w="1381" w:type="dxa"/>
            <w:vAlign w:val="top"/>
          </w:tcPr>
          <w:p>
            <w:pPr>
              <w:pStyle w:val="17"/>
              <w:spacing w:line="360" w:lineRule="auto"/>
              <w:rPr>
                <w:rFonts w:ascii="楷体_GB2312" w:hAnsi="Times New Roman" w:eastAsia="楷体_GB2312"/>
                <w:sz w:val="24"/>
              </w:rPr>
            </w:pPr>
          </w:p>
        </w:tc>
        <w:tc>
          <w:tcPr>
            <w:tcW w:w="745" w:type="dxa"/>
            <w:vAlign w:val="top"/>
          </w:tcPr>
          <w:p>
            <w:pPr>
              <w:pStyle w:val="17"/>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hint="eastAsia" w:ascii="宋体" w:hAnsi="宋体"/>
          <w:szCs w:val="21"/>
        </w:rPr>
      </w:pPr>
      <w:r>
        <w:rPr>
          <w:rFonts w:hint="eastAsia" w:ascii="宋体" w:hAnsi="宋体"/>
          <w:szCs w:val="21"/>
        </w:rPr>
        <w:t>须加盖报价单位公章。</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tabs>
          <w:tab w:val="left" w:pos="5812"/>
        </w:tabs>
        <w:spacing w:line="440" w:lineRule="exact"/>
        <w:ind w:firstLine="5810" w:firstLineChars="2767"/>
        <w:rPr>
          <w:rFonts w:hint="eastAsia"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hint="eastAsia"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hint="eastAsia" w:ascii="宋体" w:hAnsi="宋体"/>
          <w:szCs w:val="21"/>
        </w:rPr>
      </w:pPr>
    </w:p>
    <w:p>
      <w:pPr>
        <w:tabs>
          <w:tab w:val="left" w:pos="5812"/>
        </w:tabs>
        <w:spacing w:line="440" w:lineRule="exact"/>
        <w:ind w:firstLine="7700" w:firstLineChars="3667"/>
        <w:rPr>
          <w:rFonts w:hint="eastAsia" w:ascii="宋体" w:hAnsi="宋体"/>
          <w:szCs w:val="21"/>
        </w:rPr>
      </w:pPr>
      <w:r>
        <w:rPr>
          <w:rFonts w:hint="eastAsia" w:ascii="宋体" w:hAnsi="宋体"/>
          <w:szCs w:val="21"/>
        </w:rPr>
        <w:t>年    月    日</w:t>
      </w:r>
    </w:p>
    <w:p>
      <w:pPr>
        <w:tabs>
          <w:tab w:val="left" w:pos="5812"/>
        </w:tabs>
        <w:spacing w:line="440" w:lineRule="exact"/>
        <w:ind w:firstLine="5810" w:firstLineChars="2767"/>
        <w:rPr>
          <w:rFonts w:hint="eastAsia" w:ascii="宋体" w:hAnsi="宋体"/>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sz w:val="36"/>
          <w:szCs w:val="36"/>
        </w:rPr>
      </w:pPr>
      <w:r>
        <w:rPr>
          <w:rFonts w:hint="eastAsia" w:ascii="宋体" w:hAnsi="宋体"/>
          <w:b/>
          <w:sz w:val="36"/>
          <w:szCs w:val="36"/>
        </w:rPr>
        <w:t>项目清单及分项报价表</w:t>
      </w:r>
    </w:p>
    <w:p>
      <w:pPr>
        <w:spacing w:after="120"/>
        <w:jc w:val="center"/>
        <w:rPr>
          <w:rFonts w:hint="eastAsia" w:ascii="宋体" w:hAnsi="宋体"/>
          <w:b/>
          <w:bCs/>
          <w:sz w:val="32"/>
          <w:szCs w:val="32"/>
        </w:rPr>
      </w:pPr>
    </w:p>
    <w:p>
      <w:pPr>
        <w:spacing w:after="120"/>
        <w:ind w:firstLine="210" w:firstLineChars="100"/>
        <w:rPr>
          <w:rFonts w:hint="eastAsia"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hint="eastAsia" w:ascii="宋体"/>
          <w:u w:val="single"/>
        </w:rPr>
      </w:pPr>
    </w:p>
    <w:tbl>
      <w:tblPr>
        <w:tblStyle w:val="36"/>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7"/>
              <w:spacing w:line="360" w:lineRule="auto"/>
              <w:jc w:val="center"/>
              <w:rPr>
                <w:rFonts w:hAnsi="宋体" w:cs="Arial"/>
                <w:sz w:val="24"/>
              </w:rPr>
            </w:pPr>
            <w:r>
              <w:rPr>
                <w:rFonts w:hint="eastAsia" w:hAnsi="宋体" w:cs="Arial"/>
                <w:sz w:val="24"/>
              </w:rPr>
              <w:t>序号</w:t>
            </w:r>
          </w:p>
        </w:tc>
        <w:tc>
          <w:tcPr>
            <w:tcW w:w="2595" w:type="dxa"/>
            <w:vAlign w:val="center"/>
          </w:tcPr>
          <w:p>
            <w:pPr>
              <w:pStyle w:val="17"/>
              <w:spacing w:line="360" w:lineRule="auto"/>
              <w:jc w:val="center"/>
              <w:rPr>
                <w:rFonts w:hAnsi="宋体" w:cs="Arial"/>
                <w:sz w:val="24"/>
              </w:rPr>
            </w:pPr>
            <w:r>
              <w:rPr>
                <w:rFonts w:hint="eastAsia" w:hAnsi="宋体" w:cs="Arial"/>
                <w:sz w:val="24"/>
              </w:rPr>
              <w:t>货物名称</w:t>
            </w:r>
          </w:p>
        </w:tc>
        <w:tc>
          <w:tcPr>
            <w:tcW w:w="1260" w:type="dxa"/>
            <w:vAlign w:val="center"/>
          </w:tcPr>
          <w:p>
            <w:pPr>
              <w:pStyle w:val="17"/>
              <w:spacing w:line="360" w:lineRule="auto"/>
              <w:jc w:val="center"/>
              <w:rPr>
                <w:rFonts w:hAnsi="宋体" w:cs="Arial"/>
                <w:sz w:val="24"/>
              </w:rPr>
            </w:pPr>
            <w:r>
              <w:rPr>
                <w:rFonts w:hint="eastAsia" w:hAnsi="宋体" w:cs="Arial"/>
                <w:sz w:val="24"/>
              </w:rPr>
              <w:t>规格型号</w:t>
            </w:r>
          </w:p>
        </w:tc>
        <w:tc>
          <w:tcPr>
            <w:tcW w:w="780" w:type="dxa"/>
            <w:vAlign w:val="center"/>
          </w:tcPr>
          <w:p>
            <w:pPr>
              <w:pStyle w:val="17"/>
              <w:spacing w:line="360" w:lineRule="auto"/>
              <w:jc w:val="center"/>
              <w:rPr>
                <w:rFonts w:hAnsi="宋体" w:cs="Arial"/>
                <w:sz w:val="24"/>
              </w:rPr>
            </w:pPr>
            <w:r>
              <w:rPr>
                <w:rFonts w:hint="eastAsia" w:hAnsi="宋体" w:cs="Arial"/>
                <w:sz w:val="24"/>
              </w:rPr>
              <w:t>单位</w:t>
            </w:r>
          </w:p>
        </w:tc>
        <w:tc>
          <w:tcPr>
            <w:tcW w:w="780" w:type="dxa"/>
            <w:vAlign w:val="center"/>
          </w:tcPr>
          <w:p>
            <w:pPr>
              <w:pStyle w:val="17"/>
              <w:spacing w:line="360" w:lineRule="auto"/>
              <w:jc w:val="center"/>
              <w:rPr>
                <w:rFonts w:hint="eastAsia" w:hAnsi="宋体" w:cs="Arial"/>
                <w:sz w:val="24"/>
              </w:rPr>
            </w:pPr>
            <w:r>
              <w:rPr>
                <w:rFonts w:hint="eastAsia" w:hAnsi="宋体" w:cs="Arial"/>
                <w:sz w:val="24"/>
              </w:rPr>
              <w:t>数量</w:t>
            </w:r>
          </w:p>
        </w:tc>
        <w:tc>
          <w:tcPr>
            <w:tcW w:w="810" w:type="dxa"/>
            <w:vAlign w:val="center"/>
          </w:tcPr>
          <w:p>
            <w:pPr>
              <w:pStyle w:val="17"/>
              <w:spacing w:line="360" w:lineRule="auto"/>
              <w:jc w:val="center"/>
              <w:rPr>
                <w:rFonts w:hAnsi="宋体" w:cs="Arial"/>
                <w:sz w:val="24"/>
              </w:rPr>
            </w:pPr>
            <w:r>
              <w:rPr>
                <w:rFonts w:hint="eastAsia" w:hAnsi="宋体" w:cs="Arial"/>
                <w:sz w:val="24"/>
              </w:rPr>
              <w:t>单价</w:t>
            </w:r>
          </w:p>
        </w:tc>
        <w:tc>
          <w:tcPr>
            <w:tcW w:w="795" w:type="dxa"/>
            <w:vAlign w:val="center"/>
          </w:tcPr>
          <w:p>
            <w:pPr>
              <w:pStyle w:val="17"/>
              <w:spacing w:line="360" w:lineRule="auto"/>
              <w:jc w:val="center"/>
              <w:rPr>
                <w:rFonts w:hAnsi="宋体" w:cs="Arial"/>
                <w:sz w:val="24"/>
              </w:rPr>
            </w:pPr>
            <w:r>
              <w:rPr>
                <w:rFonts w:hint="eastAsia" w:hAnsi="宋体" w:cs="Arial"/>
                <w:sz w:val="24"/>
              </w:rPr>
              <w:t>合价</w:t>
            </w:r>
          </w:p>
        </w:tc>
        <w:tc>
          <w:tcPr>
            <w:tcW w:w="1671" w:type="dxa"/>
            <w:vAlign w:val="center"/>
          </w:tcPr>
          <w:p>
            <w:pPr>
              <w:pStyle w:val="17"/>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7"/>
              <w:spacing w:line="360" w:lineRule="auto"/>
              <w:rPr>
                <w:rFonts w:ascii="楷体_GB2312" w:hAnsi="Times New Roman" w:eastAsia="楷体_GB2312"/>
                <w:sz w:val="24"/>
              </w:rPr>
            </w:pPr>
          </w:p>
        </w:tc>
        <w:tc>
          <w:tcPr>
            <w:tcW w:w="2595" w:type="dxa"/>
            <w:vAlign w:val="top"/>
          </w:tcPr>
          <w:p>
            <w:pPr>
              <w:pStyle w:val="17"/>
              <w:spacing w:line="360" w:lineRule="auto"/>
              <w:rPr>
                <w:rFonts w:ascii="楷体_GB2312" w:hAnsi="Times New Roman" w:eastAsia="楷体_GB2312"/>
                <w:sz w:val="24"/>
              </w:rPr>
            </w:pPr>
          </w:p>
        </w:tc>
        <w:tc>
          <w:tcPr>
            <w:tcW w:w="126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810" w:type="dxa"/>
            <w:vAlign w:val="top"/>
          </w:tcPr>
          <w:p>
            <w:pPr>
              <w:pStyle w:val="17"/>
              <w:spacing w:line="360" w:lineRule="auto"/>
              <w:rPr>
                <w:rFonts w:ascii="楷体_GB2312" w:hAnsi="Times New Roman" w:eastAsia="楷体_GB2312"/>
                <w:sz w:val="24"/>
              </w:rPr>
            </w:pPr>
          </w:p>
        </w:tc>
        <w:tc>
          <w:tcPr>
            <w:tcW w:w="795" w:type="dxa"/>
            <w:vAlign w:val="top"/>
          </w:tcPr>
          <w:p>
            <w:pPr>
              <w:pStyle w:val="17"/>
              <w:spacing w:line="360" w:lineRule="auto"/>
              <w:rPr>
                <w:rFonts w:ascii="楷体_GB2312" w:hAnsi="Times New Roman" w:eastAsia="楷体_GB2312"/>
                <w:sz w:val="24"/>
              </w:rPr>
            </w:pPr>
          </w:p>
        </w:tc>
        <w:tc>
          <w:tcPr>
            <w:tcW w:w="1671" w:type="dxa"/>
            <w:vAlign w:val="top"/>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7"/>
              <w:spacing w:line="360" w:lineRule="auto"/>
              <w:rPr>
                <w:rFonts w:ascii="楷体_GB2312" w:hAnsi="Times New Roman" w:eastAsia="楷体_GB2312"/>
                <w:sz w:val="24"/>
              </w:rPr>
            </w:pPr>
          </w:p>
        </w:tc>
        <w:tc>
          <w:tcPr>
            <w:tcW w:w="2595" w:type="dxa"/>
            <w:vAlign w:val="top"/>
          </w:tcPr>
          <w:p>
            <w:pPr>
              <w:pStyle w:val="17"/>
              <w:spacing w:line="360" w:lineRule="auto"/>
              <w:rPr>
                <w:rFonts w:ascii="楷体_GB2312" w:hAnsi="Times New Roman" w:eastAsia="楷体_GB2312"/>
                <w:sz w:val="24"/>
              </w:rPr>
            </w:pPr>
          </w:p>
        </w:tc>
        <w:tc>
          <w:tcPr>
            <w:tcW w:w="126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810" w:type="dxa"/>
            <w:vAlign w:val="top"/>
          </w:tcPr>
          <w:p>
            <w:pPr>
              <w:pStyle w:val="17"/>
              <w:spacing w:line="360" w:lineRule="auto"/>
              <w:rPr>
                <w:rFonts w:ascii="楷体_GB2312" w:hAnsi="Times New Roman" w:eastAsia="楷体_GB2312"/>
                <w:sz w:val="24"/>
              </w:rPr>
            </w:pPr>
          </w:p>
        </w:tc>
        <w:tc>
          <w:tcPr>
            <w:tcW w:w="795" w:type="dxa"/>
            <w:vAlign w:val="top"/>
          </w:tcPr>
          <w:p>
            <w:pPr>
              <w:pStyle w:val="17"/>
              <w:spacing w:line="360" w:lineRule="auto"/>
              <w:rPr>
                <w:rFonts w:ascii="楷体_GB2312" w:hAnsi="Times New Roman" w:eastAsia="楷体_GB2312"/>
                <w:sz w:val="24"/>
              </w:rPr>
            </w:pPr>
          </w:p>
        </w:tc>
        <w:tc>
          <w:tcPr>
            <w:tcW w:w="1671" w:type="dxa"/>
            <w:vAlign w:val="top"/>
          </w:tcPr>
          <w:p>
            <w:pPr>
              <w:pStyle w:val="17"/>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7"/>
              <w:spacing w:line="360" w:lineRule="auto"/>
              <w:rPr>
                <w:rFonts w:ascii="楷体_GB2312" w:hAnsi="Times New Roman" w:eastAsia="楷体_GB2312"/>
                <w:sz w:val="24"/>
              </w:rPr>
            </w:pPr>
          </w:p>
        </w:tc>
        <w:tc>
          <w:tcPr>
            <w:tcW w:w="2595" w:type="dxa"/>
            <w:vAlign w:val="top"/>
          </w:tcPr>
          <w:p>
            <w:pPr>
              <w:pStyle w:val="17"/>
              <w:spacing w:line="360" w:lineRule="auto"/>
              <w:rPr>
                <w:rFonts w:ascii="楷体_GB2312" w:hAnsi="Times New Roman" w:eastAsia="楷体_GB2312"/>
                <w:sz w:val="24"/>
              </w:rPr>
            </w:pPr>
          </w:p>
        </w:tc>
        <w:tc>
          <w:tcPr>
            <w:tcW w:w="126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780" w:type="dxa"/>
            <w:vAlign w:val="top"/>
          </w:tcPr>
          <w:p>
            <w:pPr>
              <w:pStyle w:val="17"/>
              <w:spacing w:line="360" w:lineRule="auto"/>
              <w:rPr>
                <w:rFonts w:ascii="楷体_GB2312" w:hAnsi="Times New Roman" w:eastAsia="楷体_GB2312"/>
                <w:sz w:val="24"/>
              </w:rPr>
            </w:pPr>
          </w:p>
        </w:tc>
        <w:tc>
          <w:tcPr>
            <w:tcW w:w="810" w:type="dxa"/>
            <w:vAlign w:val="top"/>
          </w:tcPr>
          <w:p>
            <w:pPr>
              <w:pStyle w:val="17"/>
              <w:spacing w:line="360" w:lineRule="auto"/>
              <w:rPr>
                <w:rFonts w:ascii="楷体_GB2312" w:hAnsi="Times New Roman" w:eastAsia="楷体_GB2312"/>
                <w:sz w:val="24"/>
              </w:rPr>
            </w:pPr>
          </w:p>
        </w:tc>
        <w:tc>
          <w:tcPr>
            <w:tcW w:w="795" w:type="dxa"/>
            <w:vAlign w:val="top"/>
          </w:tcPr>
          <w:p>
            <w:pPr>
              <w:pStyle w:val="17"/>
              <w:spacing w:line="360" w:lineRule="auto"/>
              <w:rPr>
                <w:rFonts w:ascii="楷体_GB2312" w:hAnsi="Times New Roman" w:eastAsia="楷体_GB2312"/>
                <w:sz w:val="24"/>
              </w:rPr>
            </w:pPr>
          </w:p>
        </w:tc>
        <w:tc>
          <w:tcPr>
            <w:tcW w:w="1671" w:type="dxa"/>
            <w:vAlign w:val="top"/>
          </w:tcPr>
          <w:p>
            <w:pPr>
              <w:pStyle w:val="17"/>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hint="eastAsia"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B2312">
    <w:altName w:val="Times New Roman"/>
    <w:panose1 w:val="00000000000000000000"/>
    <w:charset w:val="00"/>
    <w:family w:val="auto"/>
    <w:pitch w:val="default"/>
    <w:sig w:usb0="00000000" w:usb1="00000000" w:usb2="00000000" w:usb3="00000000" w:csb0="00000001"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DF4"/>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55FE8"/>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5E8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5592"/>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D95223"/>
    <w:rsid w:val="02A71AEC"/>
    <w:rsid w:val="02D053CD"/>
    <w:rsid w:val="0368594A"/>
    <w:rsid w:val="03791192"/>
    <w:rsid w:val="03BD3559"/>
    <w:rsid w:val="03CC3A64"/>
    <w:rsid w:val="04E478AB"/>
    <w:rsid w:val="050A2883"/>
    <w:rsid w:val="05FD31FE"/>
    <w:rsid w:val="064C4F63"/>
    <w:rsid w:val="069D44BA"/>
    <w:rsid w:val="075A2A7B"/>
    <w:rsid w:val="07B92A24"/>
    <w:rsid w:val="07FB5644"/>
    <w:rsid w:val="0822758F"/>
    <w:rsid w:val="08313B80"/>
    <w:rsid w:val="083D72E7"/>
    <w:rsid w:val="097F5F89"/>
    <w:rsid w:val="098A0C99"/>
    <w:rsid w:val="0A477811"/>
    <w:rsid w:val="0ABB67CE"/>
    <w:rsid w:val="0C2C44D7"/>
    <w:rsid w:val="0CB83490"/>
    <w:rsid w:val="0D057A5C"/>
    <w:rsid w:val="0D3D66AE"/>
    <w:rsid w:val="0D400D8D"/>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8055B9"/>
    <w:rsid w:val="19AE3215"/>
    <w:rsid w:val="1A7D5B72"/>
    <w:rsid w:val="1AED33BC"/>
    <w:rsid w:val="1BC2609B"/>
    <w:rsid w:val="1BC917BB"/>
    <w:rsid w:val="1CE53D54"/>
    <w:rsid w:val="1D9E7C25"/>
    <w:rsid w:val="1DE166EC"/>
    <w:rsid w:val="1E780B21"/>
    <w:rsid w:val="1EA62A71"/>
    <w:rsid w:val="1FCA667D"/>
    <w:rsid w:val="20EA51D1"/>
    <w:rsid w:val="210C3C73"/>
    <w:rsid w:val="220E2ECD"/>
    <w:rsid w:val="229B58CD"/>
    <w:rsid w:val="23454FED"/>
    <w:rsid w:val="237E41B7"/>
    <w:rsid w:val="238E1A06"/>
    <w:rsid w:val="23A21C95"/>
    <w:rsid w:val="23B7553F"/>
    <w:rsid w:val="25A42B28"/>
    <w:rsid w:val="267403B3"/>
    <w:rsid w:val="27F15D9C"/>
    <w:rsid w:val="28074863"/>
    <w:rsid w:val="28AE4A0B"/>
    <w:rsid w:val="29205AB8"/>
    <w:rsid w:val="29E9507F"/>
    <w:rsid w:val="2AFF3EFD"/>
    <w:rsid w:val="2B902294"/>
    <w:rsid w:val="2BF4376B"/>
    <w:rsid w:val="2C03670A"/>
    <w:rsid w:val="2C4B6CBA"/>
    <w:rsid w:val="2CAE5761"/>
    <w:rsid w:val="2CE92B0D"/>
    <w:rsid w:val="2CED5DE2"/>
    <w:rsid w:val="2D2C6371"/>
    <w:rsid w:val="2E016B8B"/>
    <w:rsid w:val="2E292A27"/>
    <w:rsid w:val="2E784A5D"/>
    <w:rsid w:val="30C67B9E"/>
    <w:rsid w:val="318E61B1"/>
    <w:rsid w:val="31BA7E21"/>
    <w:rsid w:val="31D05CA5"/>
    <w:rsid w:val="32CF408C"/>
    <w:rsid w:val="33A14D9B"/>
    <w:rsid w:val="33F21B00"/>
    <w:rsid w:val="34170FAE"/>
    <w:rsid w:val="3552479E"/>
    <w:rsid w:val="35CA224F"/>
    <w:rsid w:val="36AB200D"/>
    <w:rsid w:val="36CC483C"/>
    <w:rsid w:val="36EF1498"/>
    <w:rsid w:val="3759692C"/>
    <w:rsid w:val="38086121"/>
    <w:rsid w:val="3A4F2DF7"/>
    <w:rsid w:val="3A6A78BF"/>
    <w:rsid w:val="3AD76819"/>
    <w:rsid w:val="3B55051D"/>
    <w:rsid w:val="3B7A2455"/>
    <w:rsid w:val="3BE528E8"/>
    <w:rsid w:val="3C041E8C"/>
    <w:rsid w:val="3C4B6B70"/>
    <w:rsid w:val="3CB26D83"/>
    <w:rsid w:val="3D977566"/>
    <w:rsid w:val="3E4167E0"/>
    <w:rsid w:val="3E5D2F50"/>
    <w:rsid w:val="3E861031"/>
    <w:rsid w:val="3EE82E77"/>
    <w:rsid w:val="3F50730D"/>
    <w:rsid w:val="3F732CAD"/>
    <w:rsid w:val="3FF82C7A"/>
    <w:rsid w:val="4030015B"/>
    <w:rsid w:val="415660D0"/>
    <w:rsid w:val="429C4E56"/>
    <w:rsid w:val="431C4B3E"/>
    <w:rsid w:val="437301A1"/>
    <w:rsid w:val="43821E77"/>
    <w:rsid w:val="44102511"/>
    <w:rsid w:val="443D2336"/>
    <w:rsid w:val="444C5CD1"/>
    <w:rsid w:val="44B36F30"/>
    <w:rsid w:val="44CA3B5A"/>
    <w:rsid w:val="452813D5"/>
    <w:rsid w:val="45292431"/>
    <w:rsid w:val="453637F6"/>
    <w:rsid w:val="467455F3"/>
    <w:rsid w:val="4684023D"/>
    <w:rsid w:val="46B34489"/>
    <w:rsid w:val="47320719"/>
    <w:rsid w:val="476969BE"/>
    <w:rsid w:val="476A15C7"/>
    <w:rsid w:val="47794455"/>
    <w:rsid w:val="478B3EE5"/>
    <w:rsid w:val="48935D8C"/>
    <w:rsid w:val="49E66767"/>
    <w:rsid w:val="4A1E02D0"/>
    <w:rsid w:val="4A2F1DAC"/>
    <w:rsid w:val="4B0C1485"/>
    <w:rsid w:val="4B4A4C26"/>
    <w:rsid w:val="4BA97879"/>
    <w:rsid w:val="4C7A4EC9"/>
    <w:rsid w:val="4CC5508E"/>
    <w:rsid w:val="4DD827C4"/>
    <w:rsid w:val="4E081BA3"/>
    <w:rsid w:val="4E1F58F6"/>
    <w:rsid w:val="4E2F02A1"/>
    <w:rsid w:val="500A299E"/>
    <w:rsid w:val="501101D8"/>
    <w:rsid w:val="508D24D4"/>
    <w:rsid w:val="50C1689E"/>
    <w:rsid w:val="50D911DD"/>
    <w:rsid w:val="50DE1AD8"/>
    <w:rsid w:val="50E53737"/>
    <w:rsid w:val="51216397"/>
    <w:rsid w:val="51432C46"/>
    <w:rsid w:val="5254321E"/>
    <w:rsid w:val="528C5CD4"/>
    <w:rsid w:val="546F5916"/>
    <w:rsid w:val="54BE1FB9"/>
    <w:rsid w:val="55BA5175"/>
    <w:rsid w:val="567B46F5"/>
    <w:rsid w:val="568D7462"/>
    <w:rsid w:val="5718422D"/>
    <w:rsid w:val="573E6D1A"/>
    <w:rsid w:val="577E7371"/>
    <w:rsid w:val="58127108"/>
    <w:rsid w:val="58206E3F"/>
    <w:rsid w:val="588F08FA"/>
    <w:rsid w:val="592A2799"/>
    <w:rsid w:val="594774EC"/>
    <w:rsid w:val="59936F36"/>
    <w:rsid w:val="5AAA5F8F"/>
    <w:rsid w:val="5AB413F5"/>
    <w:rsid w:val="5B3D21DD"/>
    <w:rsid w:val="5C0E3A34"/>
    <w:rsid w:val="5CD60134"/>
    <w:rsid w:val="5D4D4E63"/>
    <w:rsid w:val="5E484261"/>
    <w:rsid w:val="5EA67242"/>
    <w:rsid w:val="5EB115C8"/>
    <w:rsid w:val="5F3F4D92"/>
    <w:rsid w:val="5F9349A0"/>
    <w:rsid w:val="60877C85"/>
    <w:rsid w:val="60AE1A84"/>
    <w:rsid w:val="60B1208A"/>
    <w:rsid w:val="61120F87"/>
    <w:rsid w:val="61912DFD"/>
    <w:rsid w:val="61C845D6"/>
    <w:rsid w:val="61EA20BC"/>
    <w:rsid w:val="62ED1197"/>
    <w:rsid w:val="632012D3"/>
    <w:rsid w:val="635F1F03"/>
    <w:rsid w:val="636A56B3"/>
    <w:rsid w:val="63A32486"/>
    <w:rsid w:val="63D36139"/>
    <w:rsid w:val="64505B48"/>
    <w:rsid w:val="64977D69"/>
    <w:rsid w:val="651528DE"/>
    <w:rsid w:val="653E60A6"/>
    <w:rsid w:val="653F4DE5"/>
    <w:rsid w:val="65512E6D"/>
    <w:rsid w:val="668F1591"/>
    <w:rsid w:val="67E52CAD"/>
    <w:rsid w:val="681E7A7D"/>
    <w:rsid w:val="685873C5"/>
    <w:rsid w:val="68DA4AC9"/>
    <w:rsid w:val="68EF03B2"/>
    <w:rsid w:val="693D2D8D"/>
    <w:rsid w:val="6AC552B3"/>
    <w:rsid w:val="6AFC2413"/>
    <w:rsid w:val="6BB52DCD"/>
    <w:rsid w:val="6C3A7A22"/>
    <w:rsid w:val="6E0865E0"/>
    <w:rsid w:val="6E8E12EF"/>
    <w:rsid w:val="6F062018"/>
    <w:rsid w:val="6F1E24F8"/>
    <w:rsid w:val="6F3F764E"/>
    <w:rsid w:val="6F775AB8"/>
    <w:rsid w:val="71346F76"/>
    <w:rsid w:val="722E1B2B"/>
    <w:rsid w:val="72674F59"/>
    <w:rsid w:val="731A01C7"/>
    <w:rsid w:val="732B4FE5"/>
    <w:rsid w:val="73382DAE"/>
    <w:rsid w:val="746E74A6"/>
    <w:rsid w:val="74810298"/>
    <w:rsid w:val="74AC783C"/>
    <w:rsid w:val="753320BC"/>
    <w:rsid w:val="7681674A"/>
    <w:rsid w:val="774737A1"/>
    <w:rsid w:val="77EC3D7F"/>
    <w:rsid w:val="787228C6"/>
    <w:rsid w:val="78C328A3"/>
    <w:rsid w:val="7A6042E4"/>
    <w:rsid w:val="7A8512DD"/>
    <w:rsid w:val="7AB913E9"/>
    <w:rsid w:val="7B11404E"/>
    <w:rsid w:val="7B493B7A"/>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annotation subject"/>
    <w:basedOn w:val="9"/>
    <w:next w:val="9"/>
    <w:link w:val="84"/>
    <w:qFormat/>
    <w:uiPriority w:val="0"/>
    <w:rPr>
      <w:b/>
      <w:bCs/>
    </w:rPr>
  </w:style>
  <w:style w:type="paragraph" w:styleId="9">
    <w:name w:val="annotation text"/>
    <w:basedOn w:val="1"/>
    <w:link w:val="58"/>
    <w:unhideWhenUsed/>
    <w:qFormat/>
    <w:uiPriority w:val="99"/>
    <w:pPr>
      <w:jc w:val="left"/>
    </w:pPr>
  </w:style>
  <w:style w:type="paragraph" w:styleId="10">
    <w:name w:val="caption"/>
    <w:basedOn w:val="1"/>
    <w:next w:val="1"/>
    <w:qFormat/>
    <w:uiPriority w:val="35"/>
    <w:pPr>
      <w:spacing w:beforeLines="50" w:afterLines="50" w:line="360" w:lineRule="auto"/>
      <w:jc w:val="center"/>
    </w:pPr>
    <w:rPr>
      <w:rFonts w:ascii="Arial" w:hAnsi="Arial" w:cs="Arial"/>
      <w:sz w:val="24"/>
      <w:szCs w:val="20"/>
    </w:rPr>
  </w:style>
  <w:style w:type="paragraph" w:styleId="11">
    <w:name w:val="Document Map"/>
    <w:basedOn w:val="1"/>
    <w:semiHidden/>
    <w:qFormat/>
    <w:uiPriority w:val="0"/>
    <w:pPr>
      <w:shd w:val="clear" w:color="auto" w:fill="000080"/>
    </w:pPr>
  </w:style>
  <w:style w:type="paragraph" w:styleId="12">
    <w:name w:val="Body Text 3"/>
    <w:basedOn w:val="1"/>
    <w:qFormat/>
    <w:uiPriority w:val="0"/>
    <w:rPr>
      <w:rFonts w:ascii="楷体_GB2312" w:hAnsi="Arial" w:eastAsia="楷体_GB2312" w:cs="Arial"/>
      <w:b/>
      <w:bCs/>
      <w:color w:val="000000"/>
      <w:sz w:val="24"/>
    </w:rPr>
  </w:style>
  <w:style w:type="paragraph" w:styleId="13">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4">
    <w:name w:val="Body Text Indent"/>
    <w:basedOn w:val="1"/>
    <w:qFormat/>
    <w:uiPriority w:val="0"/>
    <w:pPr>
      <w:ind w:firstLine="630"/>
    </w:pPr>
    <w:rPr>
      <w:rFonts w:ascii="楷体_GB2312" w:eastAsia="楷体_GB2312"/>
      <w:sz w:val="32"/>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7">
    <w:name w:val="Plain Text"/>
    <w:basedOn w:val="1"/>
    <w:link w:val="40"/>
    <w:qFormat/>
    <w:uiPriority w:val="99"/>
    <w:rPr>
      <w:rFonts w:ascii="宋体" w:hAnsi="Courier New"/>
      <w:szCs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Body Text First Indent 2"/>
    <w:basedOn w:val="14"/>
    <w:qFormat/>
    <w:uiPriority w:val="0"/>
    <w:pPr>
      <w:widowControl/>
      <w:spacing w:after="120"/>
      <w:ind w:left="420" w:leftChars="200" w:firstLine="420" w:firstLineChars="200"/>
    </w:pPr>
    <w:rPr>
      <w:rFonts w:ascii="仿宋_GB2312" w:eastAsia="仿宋_GB2312"/>
      <w:color w:val="FF6600"/>
      <w:sz w:val="21"/>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eastAsia="楷体"/>
      <w:b/>
      <w:sz w:val="28"/>
    </w:rPr>
  </w:style>
  <w:style w:type="paragraph" w:styleId="24">
    <w:name w:val="Body Text Indent 3"/>
    <w:basedOn w:val="1"/>
    <w:qFormat/>
    <w:uiPriority w:val="99"/>
    <w:pPr>
      <w:ind w:firstLine="420" w:firstLineChars="200"/>
    </w:pPr>
    <w:rPr>
      <w:rFonts w:eastAsia="楷体_GB2312"/>
    </w:rPr>
  </w:style>
  <w:style w:type="paragraph" w:styleId="25">
    <w:name w:val="toc 2"/>
    <w:basedOn w:val="1"/>
    <w:next w:val="1"/>
    <w:semiHidden/>
    <w:qFormat/>
    <w:uiPriority w:val="0"/>
    <w:pPr>
      <w:ind w:left="420" w:leftChars="200"/>
    </w:pPr>
    <w:rPr>
      <w:szCs w:val="20"/>
    </w:rPr>
  </w:style>
  <w:style w:type="paragraph" w:styleId="26">
    <w:name w:val="Body Text 2"/>
    <w:basedOn w:val="1"/>
    <w:qFormat/>
    <w:uiPriority w:val="99"/>
    <w:pPr>
      <w:spacing w:line="440" w:lineRule="exact"/>
    </w:pPr>
    <w:rPr>
      <w:rFonts w:ascii="楷体_GB2312"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44"/>
    <w:qFormat/>
    <w:uiPriority w:val="0"/>
    <w:pPr>
      <w:spacing w:before="240" w:after="60"/>
      <w:jc w:val="center"/>
      <w:outlineLvl w:val="0"/>
    </w:pPr>
    <w:rPr>
      <w:rFonts w:ascii="Cambria" w:hAnsi="Cambria"/>
      <w:b/>
      <w:bCs/>
      <w:sz w:val="32"/>
      <w:szCs w:val="32"/>
    </w:rPr>
  </w:style>
  <w:style w:type="character" w:styleId="30">
    <w:name w:val="Strong"/>
    <w:qFormat/>
    <w:uiPriority w:val="22"/>
    <w:rPr>
      <w:b/>
      <w:bCs/>
    </w:rPr>
  </w:style>
  <w:style w:type="character" w:styleId="31">
    <w:name w:val="page number"/>
    <w:basedOn w:val="29"/>
    <w:qFormat/>
    <w:uiPriority w:val="99"/>
  </w:style>
  <w:style w:type="character" w:styleId="32">
    <w:name w:val="FollowedHyperlink"/>
    <w:qFormat/>
    <w:uiPriority w:val="0"/>
    <w:rPr>
      <w:color w:val="800080"/>
      <w:u w:val="single"/>
    </w:rPr>
  </w:style>
  <w:style w:type="character" w:styleId="33">
    <w:name w:val="Emphasis"/>
    <w:qFormat/>
    <w:uiPriority w:val="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列出段落 Char"/>
    <w:link w:val="39"/>
    <w:qFormat/>
    <w:uiPriority w:val="0"/>
    <w:rPr>
      <w:rFonts w:ascii="Calibri" w:hAnsi="Calibri"/>
      <w:kern w:val="2"/>
      <w:sz w:val="21"/>
      <w:szCs w:val="22"/>
    </w:rPr>
  </w:style>
  <w:style w:type="paragraph" w:customStyle="1" w:styleId="39">
    <w:name w:val="列出段落1"/>
    <w:basedOn w:val="1"/>
    <w:link w:val="38"/>
    <w:qFormat/>
    <w:uiPriority w:val="0"/>
    <w:pPr>
      <w:ind w:firstLine="420" w:firstLineChars="200"/>
    </w:pPr>
    <w:rPr>
      <w:rFonts w:ascii="Calibri" w:hAnsi="Calibri"/>
      <w:szCs w:val="22"/>
    </w:rPr>
  </w:style>
  <w:style w:type="character" w:customStyle="1" w:styleId="40">
    <w:name w:val="纯文本 Char"/>
    <w:link w:val="17"/>
    <w:qFormat/>
    <w:uiPriority w:val="0"/>
    <w:rPr>
      <w:rFonts w:ascii="宋体" w:hAnsi="Courier New" w:eastAsia="宋体"/>
      <w:kern w:val="2"/>
      <w:sz w:val="21"/>
      <w:lang w:val="en-US" w:eastAsia="zh-CN" w:bidi="ar-SA"/>
    </w:rPr>
  </w:style>
  <w:style w:type="character" w:customStyle="1" w:styleId="41">
    <w:name w:val="param-value"/>
    <w:basedOn w:val="29"/>
    <w:qFormat/>
    <w:uiPriority w:val="0"/>
  </w:style>
  <w:style w:type="character" w:customStyle="1" w:styleId="42">
    <w:name w:val="页脚 Char"/>
    <w:link w:val="20"/>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8"/>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标题 2 Char"/>
    <w:qFormat/>
    <w:uiPriority w:val="9"/>
    <w:rPr>
      <w:rFonts w:ascii="Arial" w:hAnsi="Arial" w:eastAsia="黑体"/>
      <w:b/>
      <w:kern w:val="2"/>
      <w:sz w:val="32"/>
      <w:lang w:val="en-US" w:eastAsia="zh-CN"/>
    </w:rPr>
  </w:style>
  <w:style w:type="character" w:customStyle="1" w:styleId="51">
    <w:name w:val="页眉 Char"/>
    <w:link w:val="22"/>
    <w:qFormat/>
    <w:uiPriority w:val="99"/>
    <w:rPr>
      <w:kern w:val="2"/>
      <w:sz w:val="18"/>
      <w:szCs w:val="18"/>
    </w:rPr>
  </w:style>
  <w:style w:type="character" w:customStyle="1" w:styleId="52">
    <w:name w:val="标题 5 Char"/>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Char"/>
    <w:link w:val="5"/>
    <w:qFormat/>
    <w:uiPriority w:val="9"/>
    <w:rPr>
      <w:rFonts w:ascii="Arial" w:hAnsi="Arial"/>
      <w:b/>
      <w:kern w:val="2"/>
      <w:sz w:val="32"/>
    </w:rPr>
  </w:style>
  <w:style w:type="character" w:customStyle="1" w:styleId="55">
    <w:name w:val="style4"/>
    <w:qFormat/>
    <w:uiPriority w:val="0"/>
  </w:style>
  <w:style w:type="character" w:customStyle="1" w:styleId="56">
    <w:name w:val="标题 4 Char"/>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Char"/>
    <w:link w:val="9"/>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11"/>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1"/>
    <w:basedOn w:val="1"/>
    <w:unhideWhenUsed/>
    <w:qFormat/>
    <w:uiPriority w:val="99"/>
    <w:pPr>
      <w:ind w:firstLine="420" w:firstLineChars="200"/>
    </w:pPr>
  </w:style>
  <w:style w:type="paragraph" w:customStyle="1" w:styleId="75">
    <w:name w:val="Char Char Char Char"/>
    <w:basedOn w:val="11"/>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p0"/>
    <w:basedOn w:val="1"/>
    <w:qFormat/>
    <w:uiPriority w:val="0"/>
    <w:pPr>
      <w:widowControl/>
    </w:pPr>
    <w:rPr>
      <w:kern w:val="0"/>
      <w:szCs w:val="21"/>
    </w:rPr>
  </w:style>
  <w:style w:type="character" w:customStyle="1" w:styleId="84">
    <w:name w:val="批注主题 Char"/>
    <w:basedOn w:val="58"/>
    <w:link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8236</Words>
  <Characters>1441</Characters>
  <Lines>12</Lines>
  <Paragraphs>19</Paragraphs>
  <TotalTime>0</TotalTime>
  <ScaleCrop>false</ScaleCrop>
  <LinksUpToDate>false</LinksUpToDate>
  <CharactersWithSpaces>9658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2018-05-28T08:10:48Z</dcterms:modified>
  <dc:title>淮阴师范学院招标文件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