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0"/>
        <w:rPr>
          <w:rFonts w:eastAsia="黑体"/>
          <w:b/>
          <w:bCs/>
          <w:sz w:val="84"/>
        </w:rPr>
      </w:pPr>
      <w:bookmarkStart w:id="0" w:name="_Toc455914596"/>
      <w:bookmarkStart w:id="1" w:name="_Toc142209795"/>
      <w:bookmarkStart w:id="2" w:name="_Toc115756014"/>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ascii="宋体" w:hAnsi="宋体"/>
          <w:b/>
          <w:sz w:val="36"/>
        </w:rPr>
      </w:pPr>
      <w:r>
        <w:rPr>
          <w:rFonts w:hint="eastAsia" w:ascii="宋体" w:hAnsi="宋体"/>
          <w:b/>
          <w:sz w:val="36"/>
        </w:rPr>
        <w:t>项目名称：</w:t>
      </w:r>
      <w:r>
        <w:rPr>
          <w:rFonts w:hint="eastAsia" w:ascii="宋体" w:hAnsi="宋体"/>
          <w:b/>
          <w:kern w:val="0"/>
          <w:sz w:val="32"/>
          <w:szCs w:val="32"/>
          <w:u w:val="single"/>
        </w:rPr>
        <w:t xml:space="preserve">江苏开放大学空调4#主机维修及阀门更换  </w:t>
      </w:r>
      <w:r>
        <w:rPr>
          <w:rFonts w:hint="eastAsia" w:ascii="宋体" w:hAnsi="宋体"/>
          <w:b/>
          <w:sz w:val="36"/>
        </w:rPr>
        <w:t xml:space="preserve">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rPr>
        <w:t xml:space="preserve">  </w:t>
      </w:r>
      <w:r>
        <w:rPr>
          <w:rFonts w:ascii="宋体" w:hAnsi="宋体"/>
          <w:b/>
          <w:sz w:val="36"/>
          <w:u w:val="single"/>
        </w:rPr>
        <w:t>2019-ZB-XC0</w:t>
      </w:r>
      <w:r>
        <w:rPr>
          <w:rFonts w:hint="eastAsia" w:ascii="宋体" w:hAnsi="宋体"/>
          <w:b/>
          <w:sz w:val="36"/>
          <w:u w:val="single"/>
        </w:rPr>
        <w:t xml:space="preserve">44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为满足江苏开放大学定淮门校区空调系统正常运行和使用需要，需对现有4#主机压缩机进行维修及相关阀门更换部件，</w:t>
      </w:r>
      <w:r>
        <w:rPr>
          <w:rFonts w:ascii="Times New Roman" w:hAnsi="Times New Roman" w:cs="Times New Roman"/>
          <w:sz w:val="21"/>
          <w:szCs w:val="21"/>
        </w:rPr>
        <w:t>现对我校</w:t>
      </w:r>
      <w:r>
        <w:rPr>
          <w:rFonts w:hint="eastAsia" w:ascii="Times New Roman" w:hAnsi="Times New Roman" w:cs="Times New Roman"/>
          <w:b/>
          <w:sz w:val="21"/>
          <w:szCs w:val="21"/>
          <w:u w:val="single"/>
        </w:rPr>
        <w:t>空调4#主机维修及阀门更换</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项目编号：2019-ZB-XC0</w:t>
      </w:r>
      <w:r>
        <w:rPr>
          <w:rFonts w:hint="eastAsia" w:ascii="Times New Roman" w:hAnsi="Times New Roman" w:cs="Times New Roman"/>
          <w:sz w:val="21"/>
          <w:szCs w:val="21"/>
        </w:rPr>
        <w:t>44</w:t>
      </w:r>
    </w:p>
    <w:p>
      <w:pPr>
        <w:pStyle w:val="26"/>
        <w:numPr>
          <w:ilvl w:val="0"/>
          <w:numId w:val="4"/>
        </w:numPr>
        <w:spacing w:before="0" w:beforeAutospacing="0" w:after="0" w:afterAutospacing="0" w:line="360" w:lineRule="auto"/>
        <w:ind w:firstLine="482"/>
        <w:rPr>
          <w:rFonts w:ascii="Times New Roman" w:hAnsi="Times New Roman" w:cs="Times New Roman"/>
          <w:bCs/>
          <w:sz w:val="21"/>
          <w:szCs w:val="21"/>
        </w:rPr>
      </w:pPr>
      <w:r>
        <w:rPr>
          <w:rFonts w:ascii="Times New Roman" w:hAnsi="Times New Roman" w:cs="Times New Roman"/>
          <w:sz w:val="21"/>
          <w:szCs w:val="21"/>
        </w:rPr>
        <w:t>项目名称：</w:t>
      </w:r>
      <w:r>
        <w:rPr>
          <w:rFonts w:hint="eastAsia"/>
          <w:bCs/>
        </w:rPr>
        <w:t>江苏开放大学空调4#主机维修及阀门更换</w:t>
      </w:r>
    </w:p>
    <w:p>
      <w:pPr>
        <w:pStyle w:val="26"/>
        <w:numPr>
          <w:ilvl w:val="0"/>
          <w:numId w:val="4"/>
        </w:numPr>
        <w:spacing w:before="0" w:beforeAutospacing="0" w:after="0" w:afterAutospacing="0" w:line="360" w:lineRule="auto"/>
        <w:ind w:firstLine="482"/>
        <w:rPr>
          <w:rFonts w:ascii="Times New Roman" w:hAnsi="Times New Roman" w:cs="Times New Roman"/>
          <w:bCs/>
          <w:sz w:val="21"/>
          <w:szCs w:val="21"/>
        </w:rPr>
      </w:pPr>
      <w:r>
        <w:rPr>
          <w:rFonts w:hint="eastAsia"/>
          <w:bCs/>
          <w:sz w:val="21"/>
          <w:szCs w:val="21"/>
        </w:rPr>
        <w:t>项目预算：17万</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供货期：30天</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lang w:eastAsia="zh-CN"/>
        </w:rPr>
        <w:t>保修期：本次维修改造全部内容免费保修两年。</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1、参加本次采购活动的投标人须符合《中华人民共和国政府采购法》第二十二条之规定。（详见招标文件“第五部分 投标文件格式 ——四、资格证明文件”）</w:t>
      </w:r>
      <w:bookmarkStart w:id="38" w:name="_GoBack"/>
      <w:bookmarkEnd w:id="38"/>
    </w:p>
    <w:p>
      <w:pPr>
        <w:spacing w:line="360" w:lineRule="auto"/>
        <w:ind w:firstLine="420" w:firstLineChars="200"/>
        <w:jc w:val="left"/>
        <w:rPr>
          <w:kern w:val="0"/>
          <w:szCs w:val="21"/>
        </w:rPr>
      </w:pPr>
      <w:r>
        <w:rPr>
          <w:rFonts w:hint="eastAsia"/>
          <w:kern w:val="0"/>
          <w:szCs w:val="21"/>
        </w:rPr>
        <w:t>2、采购人根据采购项目的特殊要求规定的特定条件：</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keepNext/>
        <w:keepLines/>
        <w:spacing w:before="260" w:after="260" w:line="413" w:lineRule="auto"/>
        <w:outlineLvl w:val="2"/>
        <w:rPr>
          <w:rFonts w:ascii="Arial" w:hAnsi="Arial"/>
          <w:b/>
          <w:sz w:val="24"/>
        </w:rPr>
      </w:pPr>
      <w:bookmarkStart w:id="6" w:name="_Toc455914603"/>
      <w:r>
        <w:rPr>
          <w:rFonts w:hint="eastAsia"/>
          <w:b/>
          <w:szCs w:val="21"/>
        </w:rPr>
        <w:t>1</w:t>
      </w:r>
      <w:r>
        <w:rPr>
          <w:b/>
          <w:szCs w:val="21"/>
        </w:rPr>
        <w:t>.</w:t>
      </w:r>
      <w:r>
        <w:rPr>
          <w:rFonts w:hint="eastAsia"/>
          <w:b/>
          <w:szCs w:val="21"/>
        </w:rPr>
        <w:t>3投标报名及现场勘察</w:t>
      </w:r>
    </w:p>
    <w:p>
      <w:pPr>
        <w:spacing w:line="360" w:lineRule="auto"/>
        <w:ind w:firstLine="420" w:firstLineChars="200"/>
        <w:jc w:val="left"/>
      </w:pPr>
      <w:bookmarkStart w:id="7" w:name="_Toc455914600"/>
      <w:r>
        <w:rPr>
          <w:rFonts w:hint="eastAsia"/>
        </w:rPr>
        <w:t>有意参加的投标人请在2019 年 7月 9日下午16:00前发送单位名称、联系人、联系电话及项目编号和项目名称到</w:t>
      </w:r>
      <w:r>
        <w:t>2448775794@qq.com</w:t>
      </w:r>
      <w:r>
        <w:rPr>
          <w:rFonts w:hint="eastAsia"/>
        </w:rPr>
        <w:t>邮箱中，并在邮件标题中注明“江苏开放大学空调4#主机维修及阀门更换”。</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现场勘察时间：2019年7月10号上午9:00</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现场勘察集中地点：江苏开放大学定淮门校区（南京市江东北路399号）综合办公楼一楼大厅。</w:t>
      </w:r>
    </w:p>
    <w:p>
      <w:pPr>
        <w:spacing w:line="360" w:lineRule="auto"/>
        <w:ind w:firstLine="420" w:firstLineChars="200"/>
        <w:rPr>
          <w:rFonts w:cs="仿宋_GB2312" w:asciiTheme="minorEastAsia" w:hAnsiTheme="minorEastAsia" w:eastAsiaTheme="minorEastAsia"/>
          <w:szCs w:val="21"/>
        </w:rPr>
      </w:pPr>
      <w:r>
        <w:rPr>
          <w:rFonts w:hint="eastAsia" w:cs="仿宋_GB2312" w:asciiTheme="minorEastAsia" w:hAnsiTheme="minorEastAsia" w:eastAsiaTheme="minorEastAsia"/>
          <w:szCs w:val="21"/>
        </w:rPr>
        <w:t>勘察现场联系人：曹老师13851845627，张老师15358159619</w:t>
      </w:r>
    </w:p>
    <w:p>
      <w:pPr>
        <w:pStyle w:val="26"/>
        <w:spacing w:before="0" w:beforeAutospacing="0" w:after="0" w:afterAutospacing="0" w:line="360" w:lineRule="auto"/>
        <w:ind w:firstLine="211" w:firstLineChars="100"/>
        <w:rPr>
          <w:b/>
          <w:sz w:val="21"/>
          <w:szCs w:val="21"/>
        </w:rPr>
      </w:pPr>
      <w:r>
        <w:rPr>
          <w:rFonts w:hint="eastAsia"/>
          <w:b/>
          <w:sz w:val="21"/>
          <w:szCs w:val="21"/>
        </w:rPr>
        <w:t>凡未按要求报名及现场勘察者学校不接受其投标。</w:t>
      </w:r>
    </w:p>
    <w:p>
      <w:pPr>
        <w:keepNext/>
        <w:keepLines/>
        <w:spacing w:before="260" w:after="260" w:line="413" w:lineRule="auto"/>
        <w:outlineLvl w:val="2"/>
        <w:rPr>
          <w:b/>
          <w:szCs w:val="21"/>
        </w:rPr>
      </w:pPr>
      <w:r>
        <w:rPr>
          <w:b/>
          <w:szCs w:val="21"/>
        </w:rPr>
        <w:t>1.</w:t>
      </w:r>
      <w:r>
        <w:rPr>
          <w:rFonts w:hint="eastAsia"/>
          <w:b/>
          <w:szCs w:val="21"/>
        </w:rPr>
        <w:t>5</w:t>
      </w:r>
      <w:r>
        <w:rPr>
          <w:b/>
          <w:szCs w:val="21"/>
        </w:rPr>
        <w:t>投标文件递交</w:t>
      </w:r>
      <w:bookmarkEnd w:id="7"/>
    </w:p>
    <w:p>
      <w:pPr>
        <w:widowControl/>
        <w:spacing w:line="360" w:lineRule="auto"/>
        <w:ind w:firstLine="482"/>
        <w:jc w:val="left"/>
        <w:rPr>
          <w:kern w:val="0"/>
          <w:szCs w:val="21"/>
        </w:rPr>
      </w:pPr>
      <w:r>
        <w:rPr>
          <w:kern w:val="0"/>
          <w:szCs w:val="21"/>
        </w:rPr>
        <w:t>截止时间</w:t>
      </w:r>
      <w:r>
        <w:rPr>
          <w:rFonts w:hint="eastAsia"/>
          <w:kern w:val="0"/>
          <w:szCs w:val="21"/>
        </w:rPr>
        <w:t>：201</w:t>
      </w:r>
      <w:r>
        <w:rPr>
          <w:kern w:val="0"/>
          <w:szCs w:val="21"/>
        </w:rPr>
        <w:t>9</w:t>
      </w:r>
      <w:r>
        <w:rPr>
          <w:rFonts w:hint="eastAsia"/>
          <w:kern w:val="0"/>
          <w:szCs w:val="21"/>
        </w:rPr>
        <w:t>年7月 12日上午9：30（星期五）。</w:t>
      </w:r>
    </w:p>
    <w:p>
      <w:pPr>
        <w:widowControl/>
        <w:spacing w:line="360" w:lineRule="auto"/>
        <w:ind w:firstLine="482"/>
        <w:jc w:val="left"/>
        <w:rPr>
          <w:kern w:val="0"/>
          <w:szCs w:val="21"/>
        </w:rPr>
      </w:pPr>
      <w:r>
        <w:rPr>
          <w:kern w:val="0"/>
          <w:szCs w:val="21"/>
        </w:rPr>
        <w:t>递交地点：</w:t>
      </w:r>
      <w:bookmarkStart w:id="8" w:name="_Toc455914601"/>
      <w:r>
        <w:rPr>
          <w:rFonts w:hint="eastAsia"/>
          <w:kern w:val="0"/>
          <w:szCs w:val="21"/>
        </w:rPr>
        <w:t>南京市鼓楼区江东北路399号（江东北路与定淮门大街交叉口西南角）江苏开放大学 办公楼二楼第一会议室。</w:t>
      </w:r>
    </w:p>
    <w:p>
      <w:pPr>
        <w:keepNext/>
        <w:keepLines/>
        <w:spacing w:before="260" w:after="260" w:line="413" w:lineRule="auto"/>
        <w:outlineLvl w:val="2"/>
        <w:rPr>
          <w:b/>
          <w:szCs w:val="21"/>
        </w:rPr>
      </w:pPr>
      <w:r>
        <w:rPr>
          <w:b/>
          <w:szCs w:val="21"/>
        </w:rPr>
        <w:t>1.</w:t>
      </w:r>
      <w:r>
        <w:rPr>
          <w:rFonts w:hint="eastAsia"/>
          <w:b/>
          <w:szCs w:val="21"/>
        </w:rPr>
        <w:t>6</w:t>
      </w:r>
      <w:r>
        <w:rPr>
          <w:b/>
          <w:szCs w:val="21"/>
        </w:rPr>
        <w:t>开标时间及地点</w:t>
      </w:r>
      <w:bookmarkEnd w:id="8"/>
    </w:p>
    <w:p>
      <w:pPr>
        <w:widowControl/>
        <w:spacing w:line="360" w:lineRule="auto"/>
        <w:ind w:firstLine="482"/>
        <w:jc w:val="left"/>
        <w:rPr>
          <w:kern w:val="0"/>
          <w:szCs w:val="21"/>
        </w:rPr>
      </w:pPr>
      <w:r>
        <w:rPr>
          <w:b/>
          <w:bCs/>
          <w:kern w:val="0"/>
          <w:szCs w:val="21"/>
        </w:rPr>
        <w:t>开标时间：</w:t>
      </w:r>
      <w:r>
        <w:rPr>
          <w:rFonts w:hint="eastAsia"/>
          <w:kern w:val="0"/>
          <w:szCs w:val="21"/>
        </w:rPr>
        <w:t>2019年7月 12日上午9:30（星期五）。</w:t>
      </w:r>
    </w:p>
    <w:p>
      <w:pPr>
        <w:widowControl/>
        <w:spacing w:line="360" w:lineRule="auto"/>
        <w:ind w:firstLine="482"/>
        <w:jc w:val="left"/>
        <w:rPr>
          <w:kern w:val="0"/>
          <w:szCs w:val="21"/>
        </w:rPr>
      </w:pPr>
      <w:r>
        <w:rPr>
          <w:b/>
          <w:bCs/>
          <w:kern w:val="0"/>
          <w:szCs w:val="21"/>
        </w:rPr>
        <w:t>开标地点：</w:t>
      </w:r>
      <w:r>
        <w:rPr>
          <w:rFonts w:hint="eastAsia"/>
          <w:kern w:val="0"/>
          <w:szCs w:val="21"/>
        </w:rPr>
        <w:t>南京市鼓楼区江东北路399号（江东北路与定淮门大街交叉口西南角）江苏开放大学 办公楼二楼第一会议室</w:t>
      </w:r>
    </w:p>
    <w:p>
      <w:pPr>
        <w:keepNext/>
        <w:keepLines/>
        <w:spacing w:before="260" w:after="260" w:line="413" w:lineRule="auto"/>
        <w:outlineLvl w:val="2"/>
        <w:rPr>
          <w:b/>
          <w:szCs w:val="21"/>
        </w:rPr>
      </w:pPr>
      <w:bookmarkStart w:id="9" w:name="_Toc455914602"/>
      <w:r>
        <w:rPr>
          <w:b/>
          <w:szCs w:val="21"/>
        </w:rPr>
        <w:t>1.</w:t>
      </w:r>
      <w:r>
        <w:rPr>
          <w:rFonts w:hint="eastAsia"/>
          <w:b/>
          <w:szCs w:val="21"/>
        </w:rPr>
        <w:t>7</w:t>
      </w:r>
      <w:r>
        <w:rPr>
          <w:b/>
          <w:szCs w:val="21"/>
        </w:rPr>
        <w:t>发布公告媒介</w:t>
      </w:r>
      <w:bookmarkEnd w:id="9"/>
    </w:p>
    <w:p>
      <w:pPr>
        <w:spacing w:line="360" w:lineRule="auto"/>
        <w:ind w:firstLine="210" w:firstLineChars="100"/>
      </w:pPr>
      <w:r>
        <w:rPr>
          <w:rFonts w:hint="eastAsia"/>
        </w:rPr>
        <w:t>有关本次采购事务若存在变动和修改，敬请持续关注江苏开放大学首页下方（http://www.jsou.cn/）“招标公告”栏。</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8</w:t>
      </w:r>
      <w:r>
        <w:rPr>
          <w:rFonts w:ascii="Times New Roman" w:hAnsi="Times New Roman"/>
          <w:sz w:val="21"/>
          <w:szCs w:val="21"/>
        </w:rPr>
        <w:t>联系方式</w:t>
      </w:r>
      <w:bookmarkEnd w:id="6"/>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联系人：曹老师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联系电话：83774805，13851845627</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r>
        <w:rPr>
          <w:rFonts w:hint="eastAsia" w:ascii="Times New Roman" w:hAnsi="Times New Roman" w:cs="Times New Roman"/>
          <w:sz w:val="21"/>
          <w:szCs w:val="21"/>
        </w:rPr>
        <w:t>.</w:t>
      </w:r>
    </w:p>
    <w:bookmarkEnd w:id="1"/>
    <w:bookmarkEnd w:id="2"/>
    <w:p>
      <w:pPr>
        <w:pStyle w:val="5"/>
        <w:jc w:val="center"/>
        <w:rPr>
          <w:rFonts w:ascii="Times New Roman" w:hAnsi="Times New Roman" w:eastAsia="楷体"/>
          <w:sz w:val="44"/>
        </w:rPr>
      </w:pPr>
      <w:bookmarkStart w:id="10" w:name="_Toc455914604"/>
      <w:r>
        <w:rPr>
          <w:rFonts w:ascii="Times New Roman" w:hAnsi="Times New Roman" w:eastAsia="楷体"/>
          <w:sz w:val="44"/>
        </w:rPr>
        <w:t>第二部分</w:t>
      </w:r>
      <w:r>
        <w:rPr>
          <w:rFonts w:hint="eastAsia" w:ascii="Times New Roman" w:hAnsi="Times New Roman" w:eastAsia="楷体"/>
          <w:sz w:val="44"/>
        </w:rPr>
        <w:t xml:space="preserve">  </w:t>
      </w:r>
      <w:r>
        <w:rPr>
          <w:rFonts w:ascii="Times New Roman" w:hAnsi="Times New Roman" w:eastAsia="楷体"/>
          <w:sz w:val="44"/>
        </w:rPr>
        <w:t>投标人须知</w:t>
      </w:r>
      <w:bookmarkEnd w:id="10"/>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1" w:name="_Toc384844734"/>
      <w:bookmarkStart w:id="12" w:name="_Toc386980211"/>
      <w:bookmarkStart w:id="13" w:name="_Toc455914605"/>
      <w:r>
        <w:rPr>
          <w:rFonts w:ascii="Times New Roman" w:hAnsi="Times New Roman"/>
          <w:sz w:val="21"/>
          <w:szCs w:val="21"/>
        </w:rPr>
        <w:t>2.1 总则</w:t>
      </w:r>
      <w:bookmarkEnd w:id="11"/>
      <w:bookmarkEnd w:id="12"/>
      <w:bookmarkEnd w:id="13"/>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4"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4"/>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5"/>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5"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5"/>
    </w:p>
    <w:p>
      <w:pPr>
        <w:pStyle w:val="16"/>
        <w:spacing w:line="360" w:lineRule="auto"/>
        <w:ind w:firstLine="420" w:firstLineChars="200"/>
        <w:rPr>
          <w:rFonts w:ascii="Times New Roman" w:hAnsi="Times New Roman"/>
          <w:szCs w:val="21"/>
        </w:rPr>
      </w:pPr>
      <w:bookmarkStart w:id="16" w:name="_Toc384844736"/>
      <w:bookmarkStart w:id="17" w:name="_Toc386980213"/>
      <w:bookmarkStart w:id="18"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16"/>
        <w:spacing w:line="360" w:lineRule="auto"/>
        <w:ind w:firstLine="420" w:firstLineChars="200"/>
        <w:rPr>
          <w:rFonts w:ascii="Times New Roman" w:hAnsi="Times New Roman"/>
          <w:szCs w:val="21"/>
        </w:rPr>
      </w:pPr>
      <w:r>
        <w:rPr>
          <w:rFonts w:hint="eastAsia" w:ascii="Times New Roman" w:hAnsi="Times New Roman"/>
          <w:szCs w:val="21"/>
        </w:rPr>
        <w:t>3、本合同采用固定总价合同。投标单位按照招标内容，考察现场并自行编制方案，进行报价。报价为空调机组相关部件的拆除、采购、运输、保管、更换、调试、免费质保等完成招标内容所需的所有费用，包含人工费、材料费、机械费、管理费、利润、保险费、各项风险费用、规费、税金等。</w:t>
      </w:r>
    </w:p>
    <w:bookmarkEnd w:id="16"/>
    <w:bookmarkEnd w:id="17"/>
    <w:bookmarkEnd w:id="18"/>
    <w:p>
      <w:pPr>
        <w:pStyle w:val="5"/>
        <w:rPr>
          <w:rFonts w:ascii="Times New Roman" w:hAnsi="Times New Roman"/>
          <w:sz w:val="21"/>
          <w:szCs w:val="21"/>
        </w:rPr>
      </w:pPr>
      <w:bookmarkStart w:id="19" w:name="_Toc386980214"/>
      <w:bookmarkStart w:id="20" w:name="_Toc455914609"/>
      <w:bookmarkStart w:id="21" w:name="_Toc384844737"/>
      <w:r>
        <w:rPr>
          <w:rFonts w:hint="eastAsia" w:ascii="Times New Roman" w:hAnsi="Times New Roman"/>
          <w:sz w:val="21"/>
          <w:szCs w:val="21"/>
        </w:rPr>
        <w:t>2.4评标与定标</w:t>
      </w:r>
      <w:bookmarkEnd w:id="19"/>
      <w:bookmarkEnd w:id="20"/>
      <w:bookmarkEnd w:id="21"/>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经过资格审查，应有三个（含）以上合格投标人。</w:t>
      </w:r>
    </w:p>
    <w:p>
      <w:pPr>
        <w:pStyle w:val="16"/>
        <w:spacing w:line="360" w:lineRule="auto"/>
        <w:ind w:firstLine="420" w:firstLineChars="200"/>
        <w:rPr>
          <w:rFonts w:ascii="Times New Roman" w:hAnsi="Times New Roman"/>
          <w:szCs w:val="21"/>
        </w:rPr>
      </w:pPr>
      <w:r>
        <w:rPr>
          <w:rFonts w:hint="eastAsia" w:ascii="Times New Roman" w:hAnsi="Times New Roman"/>
          <w:szCs w:val="21"/>
        </w:rPr>
        <w:t>2、</w:t>
      </w:r>
      <w:r>
        <w:rPr>
          <w:rFonts w:hint="eastAsia" w:ascii="Times New Roman" w:hAnsi="Times New Roman"/>
          <w:bCs/>
          <w:szCs w:val="21"/>
        </w:rPr>
        <w:t>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3、各单位报名资格经审查合格后，方可进入招投标程序，符合资质的餐饮单位，认真测算标的进行投标活动，投标人要自觉遵守招标纪律和招标规则，如有串标或有不规范行为的，均视为废标。</w:t>
      </w:r>
    </w:p>
    <w:p>
      <w:pPr>
        <w:pStyle w:val="16"/>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4、评分标准：</w:t>
      </w:r>
      <w:r>
        <w:rPr>
          <w:rFonts w:asciiTheme="minorEastAsia" w:hAnsiTheme="minorEastAsia" w:eastAsiaTheme="minorEastAsia"/>
          <w:szCs w:val="21"/>
        </w:rPr>
        <w:t xml:space="preserve"> </w:t>
      </w:r>
    </w:p>
    <w:tbl>
      <w:tblPr>
        <w:tblStyle w:val="35"/>
        <w:tblW w:w="9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037"/>
        <w:gridCol w:w="6593"/>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widowControl/>
              <w:spacing w:line="360" w:lineRule="auto"/>
              <w:jc w:val="center"/>
              <w:rPr>
                <w:rFonts w:ascii="宋体" w:hAnsi="宋体"/>
                <w:b/>
                <w:szCs w:val="21"/>
              </w:rPr>
            </w:pPr>
            <w:r>
              <w:rPr>
                <w:rFonts w:hint="eastAsia" w:ascii="宋体" w:hAnsi="宋体"/>
                <w:b/>
                <w:szCs w:val="21"/>
              </w:rPr>
              <w:t>序号</w:t>
            </w:r>
          </w:p>
        </w:tc>
        <w:tc>
          <w:tcPr>
            <w:tcW w:w="1037" w:type="dxa"/>
            <w:vAlign w:val="center"/>
          </w:tcPr>
          <w:p>
            <w:pPr>
              <w:widowControl/>
              <w:spacing w:line="360" w:lineRule="auto"/>
              <w:jc w:val="center"/>
              <w:rPr>
                <w:rFonts w:ascii="宋体" w:hAnsi="宋体"/>
                <w:b/>
                <w:szCs w:val="21"/>
              </w:rPr>
            </w:pPr>
            <w:r>
              <w:rPr>
                <w:rFonts w:hint="eastAsia" w:ascii="宋体" w:hAnsi="宋体"/>
                <w:b/>
                <w:szCs w:val="21"/>
              </w:rPr>
              <w:t>评审</w:t>
            </w:r>
          </w:p>
          <w:p>
            <w:pPr>
              <w:widowControl/>
              <w:spacing w:line="360" w:lineRule="auto"/>
              <w:jc w:val="center"/>
              <w:rPr>
                <w:rFonts w:ascii="宋体" w:hAnsi="宋体"/>
                <w:b/>
                <w:szCs w:val="21"/>
              </w:rPr>
            </w:pPr>
            <w:r>
              <w:rPr>
                <w:rFonts w:hint="eastAsia" w:ascii="宋体" w:hAnsi="宋体"/>
                <w:b/>
                <w:szCs w:val="21"/>
              </w:rPr>
              <w:t>因素</w:t>
            </w:r>
          </w:p>
        </w:tc>
        <w:tc>
          <w:tcPr>
            <w:tcW w:w="6593" w:type="dxa"/>
            <w:vAlign w:val="center"/>
          </w:tcPr>
          <w:p>
            <w:pPr>
              <w:widowControl/>
              <w:spacing w:line="360" w:lineRule="auto"/>
              <w:jc w:val="center"/>
              <w:rPr>
                <w:rFonts w:ascii="宋体" w:hAnsi="宋体"/>
                <w:b/>
                <w:szCs w:val="21"/>
              </w:rPr>
            </w:pPr>
            <w:r>
              <w:rPr>
                <w:rFonts w:hint="eastAsia" w:ascii="宋体" w:hAnsi="宋体"/>
                <w:b/>
                <w:szCs w:val="21"/>
              </w:rPr>
              <w:t>评审标准</w:t>
            </w:r>
          </w:p>
        </w:tc>
        <w:tc>
          <w:tcPr>
            <w:tcW w:w="784" w:type="dxa"/>
            <w:vAlign w:val="center"/>
          </w:tcPr>
          <w:p>
            <w:pPr>
              <w:widowControl/>
              <w:spacing w:line="360" w:lineRule="auto"/>
              <w:jc w:val="center"/>
              <w:rPr>
                <w:rFonts w:ascii="宋体" w:hAnsi="宋体"/>
                <w:b/>
                <w:szCs w:val="21"/>
              </w:rPr>
            </w:pPr>
            <w:r>
              <w:rPr>
                <w:rFonts w:hint="eastAsia" w:ascii="宋体"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widowControl/>
              <w:spacing w:line="360" w:lineRule="auto"/>
              <w:jc w:val="center"/>
              <w:rPr>
                <w:rFonts w:ascii="宋体" w:hAnsi="宋体"/>
                <w:b/>
                <w:szCs w:val="21"/>
              </w:rPr>
            </w:pPr>
            <w:r>
              <w:rPr>
                <w:rFonts w:hint="eastAsia" w:ascii="宋体" w:hAnsi="宋体"/>
                <w:b/>
                <w:szCs w:val="21"/>
              </w:rPr>
              <w:t>1</w:t>
            </w:r>
          </w:p>
        </w:tc>
        <w:tc>
          <w:tcPr>
            <w:tcW w:w="1037" w:type="dxa"/>
            <w:vAlign w:val="center"/>
          </w:tcPr>
          <w:p>
            <w:pPr>
              <w:widowControl/>
              <w:spacing w:line="360" w:lineRule="auto"/>
              <w:jc w:val="center"/>
              <w:rPr>
                <w:rFonts w:ascii="宋体" w:hAnsi="宋体"/>
                <w:b/>
                <w:szCs w:val="21"/>
              </w:rPr>
            </w:pPr>
            <w:r>
              <w:rPr>
                <w:rFonts w:hint="eastAsia" w:ascii="宋体" w:hAnsi="宋体"/>
                <w:b/>
                <w:szCs w:val="21"/>
              </w:rPr>
              <w:t>价格</w:t>
            </w:r>
          </w:p>
        </w:tc>
        <w:tc>
          <w:tcPr>
            <w:tcW w:w="6593" w:type="dxa"/>
          </w:tcPr>
          <w:p>
            <w:pPr>
              <w:spacing w:line="360" w:lineRule="auto"/>
              <w:ind w:firstLine="420" w:firstLineChars="200"/>
              <w:rPr>
                <w:rFonts w:ascii="宋体" w:hAnsi="宋体"/>
                <w:szCs w:val="21"/>
              </w:rPr>
            </w:pPr>
            <w:r>
              <w:rPr>
                <w:rFonts w:hint="eastAsia" w:ascii="宋体" w:hAnsi="宋体"/>
                <w:szCs w:val="21"/>
              </w:rPr>
              <w:t>价格分采用低价优先法计算，即满足招标文件要求且投标价格最低的投标报价为评标基准价，其价格分为满分。其他供应商的价格分统一按照下列公式计算（小数点保留两位）：</w:t>
            </w:r>
          </w:p>
          <w:p>
            <w:pPr>
              <w:spacing w:line="360" w:lineRule="auto"/>
              <w:ind w:firstLine="420" w:firstLineChars="200"/>
              <w:rPr>
                <w:rFonts w:ascii="宋体" w:hAnsi="宋体"/>
                <w:szCs w:val="21"/>
              </w:rPr>
            </w:pPr>
            <w:r>
              <w:rPr>
                <w:rFonts w:hint="eastAsia" w:ascii="宋体" w:hAnsi="宋体"/>
                <w:szCs w:val="21"/>
              </w:rPr>
              <w:t>投标报价得分=(评标基准价／投标报价)×40</w:t>
            </w:r>
          </w:p>
        </w:tc>
        <w:tc>
          <w:tcPr>
            <w:tcW w:w="784" w:type="dxa"/>
            <w:vAlign w:val="center"/>
          </w:tcPr>
          <w:p>
            <w:pPr>
              <w:widowControl/>
              <w:spacing w:line="360" w:lineRule="auto"/>
              <w:jc w:val="center"/>
              <w:rPr>
                <w:rFonts w:ascii="宋体" w:hAnsi="宋体"/>
                <w:b/>
                <w:bCs/>
                <w:szCs w:val="21"/>
              </w:rPr>
            </w:pPr>
            <w:r>
              <w:rPr>
                <w:rFonts w:hint="eastAsia" w:ascii="宋体" w:hAnsi="宋体"/>
                <w:b/>
                <w:bCs/>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2" w:type="dxa"/>
            <w:vAlign w:val="center"/>
          </w:tcPr>
          <w:p>
            <w:pPr>
              <w:spacing w:line="360" w:lineRule="auto"/>
              <w:jc w:val="center"/>
              <w:rPr>
                <w:rFonts w:ascii="宋体" w:hAnsi="宋体"/>
                <w:b/>
                <w:szCs w:val="21"/>
              </w:rPr>
            </w:pPr>
            <w:r>
              <w:rPr>
                <w:rFonts w:hint="eastAsia" w:ascii="宋体" w:hAnsi="宋体"/>
                <w:b/>
                <w:szCs w:val="21"/>
              </w:rPr>
              <w:t>2.1</w:t>
            </w:r>
          </w:p>
        </w:tc>
        <w:tc>
          <w:tcPr>
            <w:tcW w:w="1037" w:type="dxa"/>
            <w:vMerge w:val="restart"/>
            <w:vAlign w:val="center"/>
          </w:tcPr>
          <w:p>
            <w:pPr>
              <w:spacing w:line="360" w:lineRule="auto"/>
              <w:jc w:val="center"/>
              <w:rPr>
                <w:rFonts w:ascii="宋体" w:hAnsi="宋体"/>
                <w:b/>
                <w:szCs w:val="21"/>
              </w:rPr>
            </w:pPr>
            <w:r>
              <w:rPr>
                <w:rFonts w:hint="eastAsia" w:ascii="宋体" w:hAnsi="宋体"/>
                <w:b/>
                <w:szCs w:val="21"/>
              </w:rPr>
              <w:t>技术</w:t>
            </w:r>
          </w:p>
          <w:p>
            <w:pPr>
              <w:spacing w:line="360" w:lineRule="auto"/>
              <w:jc w:val="center"/>
              <w:rPr>
                <w:rFonts w:ascii="宋体" w:hAnsi="宋体"/>
                <w:b/>
                <w:szCs w:val="21"/>
              </w:rPr>
            </w:pPr>
            <w:r>
              <w:rPr>
                <w:rFonts w:hint="eastAsia" w:ascii="宋体" w:hAnsi="宋体"/>
                <w:b/>
                <w:szCs w:val="21"/>
              </w:rPr>
              <w:t>服务</w:t>
            </w:r>
          </w:p>
        </w:tc>
        <w:tc>
          <w:tcPr>
            <w:tcW w:w="6593" w:type="dxa"/>
          </w:tcPr>
          <w:p>
            <w:pPr>
              <w:spacing w:line="360" w:lineRule="auto"/>
              <w:ind w:firstLine="420" w:firstLineChars="200"/>
              <w:rPr>
                <w:rFonts w:ascii="宋体" w:hAnsi="宋体"/>
                <w:szCs w:val="21"/>
              </w:rPr>
            </w:pPr>
            <w:r>
              <w:rPr>
                <w:rFonts w:hint="eastAsia" w:ascii="宋体" w:hAnsi="宋体"/>
                <w:szCs w:val="21"/>
              </w:rPr>
              <w:t>评委根据项目施工实施的技术方案（含不明确工作量的施工技术方案）进行综合评分，技术方案包括施工的单项作业、设备维修保养、维修质量保证措施等：</w:t>
            </w:r>
          </w:p>
          <w:p>
            <w:pPr>
              <w:spacing w:line="360" w:lineRule="auto"/>
              <w:ind w:firstLine="420" w:firstLineChars="200"/>
              <w:rPr>
                <w:rFonts w:ascii="宋体" w:hAnsi="宋体"/>
                <w:szCs w:val="21"/>
              </w:rPr>
            </w:pPr>
            <w:r>
              <w:rPr>
                <w:rFonts w:hint="eastAsia" w:ascii="宋体" w:hAnsi="宋体"/>
                <w:szCs w:val="21"/>
              </w:rPr>
              <w:t>技术方案贴合实际，对现场了解，适用，缜密性、合理性、可行性强的得7分-10分；</w:t>
            </w:r>
          </w:p>
          <w:p>
            <w:pPr>
              <w:spacing w:line="360" w:lineRule="auto"/>
              <w:ind w:firstLine="420" w:firstLineChars="200"/>
              <w:rPr>
                <w:rFonts w:ascii="宋体" w:hAnsi="宋体"/>
                <w:szCs w:val="21"/>
              </w:rPr>
            </w:pPr>
            <w:r>
              <w:rPr>
                <w:rFonts w:hint="eastAsia" w:ascii="宋体" w:hAnsi="宋体"/>
                <w:szCs w:val="21"/>
              </w:rPr>
              <w:t>技术方案较为贴合实际，缜密性、合理性、可行性较强的得4分-6分；</w:t>
            </w:r>
          </w:p>
          <w:p>
            <w:pPr>
              <w:spacing w:line="360" w:lineRule="auto"/>
              <w:ind w:firstLine="420" w:firstLineChars="200"/>
              <w:rPr>
                <w:rFonts w:ascii="宋体" w:hAnsi="宋体"/>
                <w:szCs w:val="21"/>
              </w:rPr>
            </w:pPr>
            <w:r>
              <w:rPr>
                <w:rFonts w:hint="eastAsia" w:ascii="宋体" w:hAnsi="宋体"/>
                <w:szCs w:val="21"/>
              </w:rPr>
              <w:t>技术方案完整性、合理性、可行性一般的得1分-3分；</w:t>
            </w:r>
          </w:p>
          <w:p>
            <w:pPr>
              <w:spacing w:line="360" w:lineRule="auto"/>
              <w:ind w:firstLine="420" w:firstLineChars="200"/>
              <w:rPr>
                <w:rFonts w:ascii="宋体" w:hAnsi="宋体"/>
                <w:b/>
                <w:szCs w:val="21"/>
              </w:rPr>
            </w:pPr>
            <w:r>
              <w:rPr>
                <w:rFonts w:hint="eastAsia" w:ascii="宋体" w:hAnsi="宋体"/>
                <w:szCs w:val="21"/>
              </w:rPr>
              <w:t>没有方案的不得分。</w:t>
            </w:r>
          </w:p>
        </w:tc>
        <w:tc>
          <w:tcPr>
            <w:tcW w:w="784" w:type="dxa"/>
            <w:vAlign w:val="center"/>
          </w:tcPr>
          <w:p>
            <w:pPr>
              <w:spacing w:line="360" w:lineRule="auto"/>
              <w:jc w:val="center"/>
              <w:rPr>
                <w:rFonts w:ascii="宋体" w:hAnsi="宋体"/>
                <w:b/>
                <w:bCs/>
                <w:szCs w:val="21"/>
              </w:rPr>
            </w:pPr>
            <w:r>
              <w:rPr>
                <w:rFonts w:hint="eastAsia" w:ascii="宋体" w:hAnsi="宋体"/>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widowControl/>
              <w:spacing w:line="360" w:lineRule="auto"/>
              <w:jc w:val="center"/>
              <w:rPr>
                <w:rFonts w:ascii="宋体" w:hAnsi="宋体"/>
                <w:b/>
                <w:szCs w:val="21"/>
              </w:rPr>
            </w:pPr>
            <w:r>
              <w:rPr>
                <w:rFonts w:hint="eastAsia" w:ascii="宋体" w:hAnsi="宋体"/>
                <w:b/>
                <w:szCs w:val="21"/>
              </w:rPr>
              <w:t>2.2</w:t>
            </w:r>
          </w:p>
        </w:tc>
        <w:tc>
          <w:tcPr>
            <w:tcW w:w="1037" w:type="dxa"/>
            <w:vMerge w:val="continue"/>
            <w:vAlign w:val="center"/>
          </w:tcPr>
          <w:p>
            <w:pPr>
              <w:widowControl/>
              <w:spacing w:line="360" w:lineRule="auto"/>
              <w:jc w:val="center"/>
              <w:rPr>
                <w:rFonts w:ascii="宋体" w:hAnsi="宋体"/>
                <w:b/>
                <w:szCs w:val="21"/>
              </w:rPr>
            </w:pPr>
          </w:p>
        </w:tc>
        <w:tc>
          <w:tcPr>
            <w:tcW w:w="6593" w:type="dxa"/>
          </w:tcPr>
          <w:p>
            <w:pPr>
              <w:spacing w:line="360" w:lineRule="auto"/>
              <w:ind w:firstLine="420" w:firstLineChars="200"/>
              <w:rPr>
                <w:rFonts w:ascii="宋体" w:hAnsi="宋体"/>
                <w:szCs w:val="21"/>
              </w:rPr>
            </w:pPr>
            <w:r>
              <w:rPr>
                <w:rFonts w:hint="eastAsia" w:ascii="宋体" w:hAnsi="宋体"/>
                <w:szCs w:val="21"/>
              </w:rPr>
              <w:t>评委根据供应商提供的施工组织方案进行综合评分，施工组织方案应包含日常各项运维工作的施工计划安排、人员组织、材料配置、质量保证措施等：</w:t>
            </w:r>
          </w:p>
          <w:p>
            <w:pPr>
              <w:spacing w:line="360" w:lineRule="auto"/>
              <w:ind w:firstLine="420" w:firstLineChars="200"/>
              <w:rPr>
                <w:rFonts w:ascii="宋体" w:hAnsi="宋体"/>
                <w:szCs w:val="21"/>
              </w:rPr>
            </w:pPr>
            <w:r>
              <w:rPr>
                <w:rFonts w:hint="eastAsia" w:ascii="宋体" w:hAnsi="宋体"/>
                <w:szCs w:val="21"/>
              </w:rPr>
              <w:t>施工组织方案完整周全，缜密性、连续性及可行性强，配置高，工作量细化程度高的得7分-8分；</w:t>
            </w:r>
          </w:p>
          <w:p>
            <w:pPr>
              <w:spacing w:line="360" w:lineRule="auto"/>
              <w:ind w:firstLine="420" w:firstLineChars="200"/>
              <w:rPr>
                <w:rFonts w:ascii="宋体" w:hAnsi="宋体"/>
                <w:szCs w:val="21"/>
              </w:rPr>
            </w:pPr>
            <w:r>
              <w:rPr>
                <w:rFonts w:hint="eastAsia" w:ascii="宋体" w:hAnsi="宋体"/>
                <w:szCs w:val="21"/>
              </w:rPr>
              <w:t>施工组织方案较完整，缜密性、连续性及可行性较强,配置齐全，思路一般的得4分-6分；</w:t>
            </w:r>
          </w:p>
          <w:p>
            <w:pPr>
              <w:spacing w:line="360" w:lineRule="auto"/>
              <w:ind w:firstLine="420" w:firstLineChars="200"/>
              <w:rPr>
                <w:rFonts w:ascii="宋体" w:hAnsi="宋体"/>
                <w:szCs w:val="21"/>
              </w:rPr>
            </w:pPr>
            <w:r>
              <w:rPr>
                <w:rFonts w:hint="eastAsia" w:ascii="宋体" w:hAnsi="宋体"/>
                <w:szCs w:val="21"/>
              </w:rPr>
              <w:t>施工组织方案不全面，可行性一般，配置一般的得1分-3分；</w:t>
            </w:r>
          </w:p>
          <w:p>
            <w:pPr>
              <w:spacing w:line="360" w:lineRule="auto"/>
              <w:ind w:firstLine="420" w:firstLineChars="200"/>
              <w:rPr>
                <w:rFonts w:ascii="宋体" w:hAnsi="宋体"/>
                <w:szCs w:val="21"/>
              </w:rPr>
            </w:pPr>
            <w:r>
              <w:rPr>
                <w:rFonts w:hint="eastAsia" w:ascii="宋体" w:hAnsi="宋体"/>
                <w:szCs w:val="21"/>
              </w:rPr>
              <w:t>没有方案的不得分。</w:t>
            </w:r>
          </w:p>
        </w:tc>
        <w:tc>
          <w:tcPr>
            <w:tcW w:w="784" w:type="dxa"/>
            <w:vAlign w:val="center"/>
          </w:tcPr>
          <w:p>
            <w:pPr>
              <w:widowControl/>
              <w:spacing w:line="360" w:lineRule="auto"/>
              <w:jc w:val="center"/>
              <w:rPr>
                <w:rFonts w:ascii="宋体" w:hAnsi="宋体"/>
                <w:b/>
                <w:bCs/>
                <w:szCs w:val="21"/>
              </w:rPr>
            </w:pPr>
            <w:r>
              <w:rPr>
                <w:rFonts w:hint="eastAsia" w:ascii="宋体" w:hAnsi="宋体"/>
                <w:b/>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widowControl/>
              <w:spacing w:line="360" w:lineRule="auto"/>
              <w:jc w:val="center"/>
              <w:rPr>
                <w:rFonts w:ascii="宋体" w:hAnsi="宋体"/>
                <w:b/>
                <w:szCs w:val="21"/>
              </w:rPr>
            </w:pPr>
            <w:r>
              <w:rPr>
                <w:rFonts w:hint="eastAsia" w:ascii="宋体" w:hAnsi="宋体"/>
                <w:b/>
                <w:szCs w:val="21"/>
              </w:rPr>
              <w:t>2.3</w:t>
            </w:r>
          </w:p>
        </w:tc>
        <w:tc>
          <w:tcPr>
            <w:tcW w:w="1037" w:type="dxa"/>
            <w:vMerge w:val="continue"/>
            <w:vAlign w:val="center"/>
          </w:tcPr>
          <w:p>
            <w:pPr>
              <w:widowControl/>
              <w:spacing w:line="360" w:lineRule="auto"/>
              <w:jc w:val="center"/>
              <w:rPr>
                <w:rFonts w:ascii="宋体" w:hAnsi="宋体"/>
                <w:b/>
                <w:szCs w:val="21"/>
              </w:rPr>
            </w:pPr>
          </w:p>
        </w:tc>
        <w:tc>
          <w:tcPr>
            <w:tcW w:w="6593" w:type="dxa"/>
          </w:tcPr>
          <w:p>
            <w:pPr>
              <w:spacing w:line="360" w:lineRule="auto"/>
              <w:ind w:firstLine="420" w:firstLineChars="200"/>
              <w:rPr>
                <w:rFonts w:ascii="宋体" w:hAnsi="宋体"/>
                <w:szCs w:val="21"/>
              </w:rPr>
            </w:pPr>
            <w:r>
              <w:rPr>
                <w:rFonts w:hint="eastAsia" w:ascii="宋体" w:hAnsi="宋体"/>
                <w:szCs w:val="21"/>
              </w:rPr>
              <w:t>评委根据供应商提供的安全文明管理措施、应急保障措施等进行综合评分：</w:t>
            </w:r>
          </w:p>
          <w:p>
            <w:pPr>
              <w:spacing w:line="360" w:lineRule="auto"/>
              <w:ind w:firstLine="420" w:firstLineChars="200"/>
              <w:rPr>
                <w:rFonts w:ascii="宋体" w:hAnsi="宋体"/>
                <w:szCs w:val="21"/>
              </w:rPr>
            </w:pPr>
            <w:r>
              <w:rPr>
                <w:rFonts w:hint="eastAsia" w:ascii="宋体" w:hAnsi="宋体"/>
                <w:szCs w:val="21"/>
              </w:rPr>
              <w:t>措施考虑周全详细、具有针对性、可行性高的得7分-8分；</w:t>
            </w:r>
          </w:p>
          <w:p>
            <w:pPr>
              <w:spacing w:line="360" w:lineRule="auto"/>
              <w:ind w:firstLine="420" w:firstLineChars="200"/>
              <w:rPr>
                <w:rFonts w:ascii="宋体" w:hAnsi="宋体"/>
                <w:szCs w:val="21"/>
              </w:rPr>
            </w:pPr>
            <w:r>
              <w:rPr>
                <w:rFonts w:hint="eastAsia" w:ascii="宋体" w:hAnsi="宋体"/>
                <w:szCs w:val="21"/>
              </w:rPr>
              <w:t>措施考虑较详细、针对性一般、可行性较高的得4分-6分；</w:t>
            </w:r>
          </w:p>
          <w:p>
            <w:pPr>
              <w:spacing w:line="360" w:lineRule="auto"/>
              <w:ind w:firstLine="420" w:firstLineChars="200"/>
              <w:rPr>
                <w:rFonts w:ascii="宋体" w:hAnsi="宋体"/>
                <w:szCs w:val="21"/>
              </w:rPr>
            </w:pPr>
            <w:r>
              <w:rPr>
                <w:rFonts w:hint="eastAsia" w:ascii="宋体" w:hAnsi="宋体"/>
                <w:szCs w:val="21"/>
              </w:rPr>
              <w:t>措施一般，没有针对性、可行性较低的得1分-3分；</w:t>
            </w:r>
          </w:p>
          <w:p>
            <w:pPr>
              <w:spacing w:line="360" w:lineRule="auto"/>
              <w:ind w:firstLine="420" w:firstLineChars="200"/>
              <w:rPr>
                <w:rFonts w:ascii="宋体" w:hAnsi="宋体"/>
                <w:b/>
                <w:szCs w:val="21"/>
              </w:rPr>
            </w:pPr>
            <w:r>
              <w:rPr>
                <w:rFonts w:hint="eastAsia" w:ascii="宋体" w:hAnsi="宋体"/>
                <w:szCs w:val="21"/>
              </w:rPr>
              <w:t>没有措施的不得分。</w:t>
            </w:r>
          </w:p>
        </w:tc>
        <w:tc>
          <w:tcPr>
            <w:tcW w:w="784" w:type="dxa"/>
            <w:vAlign w:val="center"/>
          </w:tcPr>
          <w:p>
            <w:pPr>
              <w:widowControl/>
              <w:spacing w:line="360" w:lineRule="auto"/>
              <w:jc w:val="center"/>
              <w:rPr>
                <w:rFonts w:ascii="宋体" w:hAnsi="宋体"/>
                <w:b/>
                <w:bCs/>
                <w:szCs w:val="21"/>
              </w:rPr>
            </w:pPr>
            <w:r>
              <w:rPr>
                <w:rFonts w:hint="eastAsia" w:ascii="宋体" w:hAnsi="宋体"/>
                <w:b/>
                <w:bCs/>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widowControl/>
              <w:spacing w:line="360" w:lineRule="auto"/>
              <w:jc w:val="center"/>
              <w:rPr>
                <w:rFonts w:ascii="宋体" w:hAnsi="宋体"/>
                <w:b/>
                <w:szCs w:val="21"/>
              </w:rPr>
            </w:pPr>
            <w:r>
              <w:rPr>
                <w:rFonts w:hint="eastAsia" w:ascii="宋体" w:hAnsi="宋体"/>
                <w:b/>
                <w:szCs w:val="21"/>
              </w:rPr>
              <w:t>2.4</w:t>
            </w:r>
          </w:p>
        </w:tc>
        <w:tc>
          <w:tcPr>
            <w:tcW w:w="1037" w:type="dxa"/>
            <w:vMerge w:val="continue"/>
            <w:vAlign w:val="center"/>
          </w:tcPr>
          <w:p>
            <w:pPr>
              <w:widowControl/>
              <w:spacing w:line="360" w:lineRule="auto"/>
              <w:jc w:val="center"/>
              <w:rPr>
                <w:rFonts w:ascii="宋体" w:hAnsi="宋体"/>
                <w:b/>
                <w:szCs w:val="21"/>
              </w:rPr>
            </w:pPr>
          </w:p>
        </w:tc>
        <w:tc>
          <w:tcPr>
            <w:tcW w:w="6593" w:type="dxa"/>
          </w:tcPr>
          <w:p>
            <w:pPr>
              <w:spacing w:line="360" w:lineRule="auto"/>
              <w:ind w:firstLine="420" w:firstLineChars="200"/>
              <w:rPr>
                <w:rFonts w:ascii="宋体" w:hAnsi="宋体"/>
                <w:szCs w:val="21"/>
              </w:rPr>
            </w:pPr>
            <w:r>
              <w:rPr>
                <w:rFonts w:hint="eastAsia" w:ascii="宋体" w:hAnsi="宋体"/>
                <w:szCs w:val="21"/>
              </w:rPr>
              <w:t>（1）项目负责人（满分2分）：暖通、机电等相似专业大专（含）以上学历，具有中级及以上职称或具有机电二级建造师（含）以上证书，得2分；（提供证书复印件，不提供不得分，原件备查）。</w:t>
            </w:r>
          </w:p>
          <w:p>
            <w:pPr>
              <w:spacing w:line="360" w:lineRule="auto"/>
              <w:ind w:firstLine="420" w:firstLineChars="200"/>
              <w:rPr>
                <w:rFonts w:ascii="宋体" w:hAnsi="宋体"/>
                <w:szCs w:val="21"/>
              </w:rPr>
            </w:pPr>
            <w:r>
              <w:rPr>
                <w:rFonts w:hint="eastAsia" w:ascii="宋体" w:hAnsi="宋体"/>
                <w:szCs w:val="21"/>
              </w:rPr>
              <w:t>（2）现场负责人（满分2分）：大专及以上学历；机电、暖通等相似专业初级及以上职称或具有机电二级建造师（含）以上证书，得2分；（提供证书复印件，不提供不得分，原件备查）。</w:t>
            </w:r>
          </w:p>
          <w:p>
            <w:pPr>
              <w:spacing w:line="360" w:lineRule="auto"/>
              <w:ind w:firstLine="420" w:firstLineChars="200"/>
              <w:rPr>
                <w:rFonts w:ascii="宋体" w:hAnsi="宋体"/>
                <w:szCs w:val="21"/>
              </w:rPr>
            </w:pPr>
            <w:r>
              <w:rPr>
                <w:rFonts w:hint="eastAsia" w:ascii="宋体" w:hAnsi="宋体"/>
                <w:szCs w:val="21"/>
              </w:rPr>
              <w:t>（3）持特殊工种证（省级安监局等官方机构发证）维修人员数量(满分6分):适用于空调设备安装维修工程的制冷工、低压电工、焊接与热切割等，持证人员数量在20人及以上得6分，10人及以上低于20人得3分，5人以上低于10人得1分，其他不得分。</w:t>
            </w:r>
          </w:p>
          <w:p>
            <w:pPr>
              <w:spacing w:line="360" w:lineRule="auto"/>
              <w:ind w:firstLine="420" w:firstLineChars="200"/>
              <w:rPr>
                <w:rFonts w:ascii="宋体" w:hAnsi="宋体"/>
                <w:szCs w:val="21"/>
              </w:rPr>
            </w:pPr>
            <w:r>
              <w:rPr>
                <w:rFonts w:hint="eastAsia" w:ascii="宋体" w:hAnsi="宋体"/>
                <w:szCs w:val="21"/>
              </w:rPr>
              <w:t>（4）持中国工业清洗协会等官方机构颁发的适用于空调设备安装维修工程的水处理高级工证书（满分3分）：5人及以上得3分，3-4人得1分，其他不得分。</w:t>
            </w:r>
          </w:p>
          <w:p>
            <w:pPr>
              <w:spacing w:line="360" w:lineRule="auto"/>
              <w:ind w:firstLine="420" w:firstLineChars="200"/>
              <w:rPr>
                <w:rFonts w:ascii="宋体" w:hAnsi="宋体"/>
                <w:szCs w:val="21"/>
              </w:rPr>
            </w:pPr>
            <w:r>
              <w:rPr>
                <w:rFonts w:hint="eastAsia" w:ascii="宋体" w:hAnsi="宋体"/>
                <w:szCs w:val="21"/>
              </w:rPr>
              <w:t>上述人员需提供近6个月的社保证明，并加盖公章。</w:t>
            </w:r>
          </w:p>
        </w:tc>
        <w:tc>
          <w:tcPr>
            <w:tcW w:w="784" w:type="dxa"/>
            <w:vAlign w:val="center"/>
          </w:tcPr>
          <w:p>
            <w:pPr>
              <w:widowControl/>
              <w:spacing w:line="360" w:lineRule="auto"/>
              <w:jc w:val="center"/>
              <w:rPr>
                <w:rFonts w:ascii="宋体" w:hAnsi="宋体"/>
                <w:b/>
                <w:bCs/>
                <w:szCs w:val="21"/>
              </w:rPr>
            </w:pPr>
            <w:r>
              <w:rPr>
                <w:rFonts w:hint="eastAsia" w:ascii="宋体" w:hAnsi="宋体"/>
                <w:b/>
                <w:bCs/>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2" w:type="dxa"/>
            <w:vAlign w:val="center"/>
          </w:tcPr>
          <w:p>
            <w:pPr>
              <w:widowControl/>
              <w:spacing w:line="360" w:lineRule="auto"/>
              <w:jc w:val="center"/>
              <w:rPr>
                <w:rFonts w:ascii="宋体" w:hAnsi="宋体"/>
                <w:b/>
                <w:szCs w:val="21"/>
              </w:rPr>
            </w:pPr>
            <w:r>
              <w:rPr>
                <w:rFonts w:hint="eastAsia" w:ascii="宋体" w:hAnsi="宋体"/>
                <w:b/>
                <w:szCs w:val="21"/>
              </w:rPr>
              <w:t>3.1</w:t>
            </w:r>
          </w:p>
        </w:tc>
        <w:tc>
          <w:tcPr>
            <w:tcW w:w="1037" w:type="dxa"/>
            <w:vMerge w:val="continue"/>
            <w:vAlign w:val="center"/>
          </w:tcPr>
          <w:p>
            <w:pPr>
              <w:widowControl/>
              <w:spacing w:line="360" w:lineRule="auto"/>
              <w:jc w:val="center"/>
              <w:rPr>
                <w:rFonts w:ascii="宋体" w:hAnsi="宋体"/>
                <w:b/>
                <w:szCs w:val="21"/>
              </w:rPr>
            </w:pPr>
          </w:p>
        </w:tc>
        <w:tc>
          <w:tcPr>
            <w:tcW w:w="6593" w:type="dxa"/>
            <w:vAlign w:val="center"/>
          </w:tcPr>
          <w:p>
            <w:pPr>
              <w:spacing w:line="360" w:lineRule="auto"/>
              <w:ind w:firstLine="420" w:firstLineChars="200"/>
              <w:rPr>
                <w:rFonts w:ascii="宋体" w:hAnsi="宋体"/>
                <w:szCs w:val="21"/>
              </w:rPr>
            </w:pPr>
            <w:r>
              <w:rPr>
                <w:rFonts w:hint="eastAsia" w:ascii="宋体" w:hAnsi="宋体"/>
                <w:szCs w:val="21"/>
              </w:rPr>
              <w:t>评委根据供应商提供的针对施工人员的安全和技能培训计划进行综合评分：</w:t>
            </w:r>
          </w:p>
          <w:p>
            <w:pPr>
              <w:spacing w:line="360" w:lineRule="auto"/>
              <w:ind w:firstLine="420" w:firstLineChars="200"/>
              <w:rPr>
                <w:rFonts w:ascii="宋体" w:hAnsi="宋体"/>
                <w:szCs w:val="21"/>
              </w:rPr>
            </w:pPr>
            <w:r>
              <w:rPr>
                <w:rFonts w:hint="eastAsia" w:ascii="宋体" w:hAnsi="宋体"/>
                <w:szCs w:val="21"/>
              </w:rPr>
              <w:t>有详细、可行的教育培训计划的得3分；</w:t>
            </w:r>
          </w:p>
          <w:p>
            <w:pPr>
              <w:spacing w:line="360" w:lineRule="auto"/>
              <w:ind w:firstLine="420" w:firstLineChars="200"/>
              <w:rPr>
                <w:rFonts w:ascii="宋体" w:hAnsi="宋体"/>
                <w:szCs w:val="21"/>
              </w:rPr>
            </w:pPr>
            <w:r>
              <w:rPr>
                <w:rFonts w:hint="eastAsia" w:ascii="宋体" w:hAnsi="宋体"/>
                <w:szCs w:val="21"/>
              </w:rPr>
              <w:t>有较详细、可行性较低的教育培训计划的得1分-2分；</w:t>
            </w:r>
          </w:p>
          <w:p>
            <w:pPr>
              <w:spacing w:line="360" w:lineRule="auto"/>
              <w:ind w:firstLine="420" w:firstLineChars="200"/>
              <w:rPr>
                <w:rFonts w:ascii="宋体" w:hAnsi="宋体"/>
                <w:szCs w:val="21"/>
              </w:rPr>
            </w:pPr>
            <w:r>
              <w:rPr>
                <w:rFonts w:hint="eastAsia" w:ascii="宋体" w:hAnsi="宋体"/>
                <w:szCs w:val="21"/>
              </w:rPr>
              <w:t>没有教育培训计划的不得分。</w:t>
            </w:r>
          </w:p>
        </w:tc>
        <w:tc>
          <w:tcPr>
            <w:tcW w:w="784" w:type="dxa"/>
            <w:vAlign w:val="center"/>
          </w:tcPr>
          <w:p>
            <w:pPr>
              <w:widowControl/>
              <w:spacing w:line="360" w:lineRule="auto"/>
              <w:jc w:val="center"/>
              <w:rPr>
                <w:rFonts w:ascii="宋体" w:hAnsi="宋体"/>
                <w:b/>
                <w:bCs/>
                <w:szCs w:val="21"/>
              </w:rPr>
            </w:pPr>
            <w:r>
              <w:rPr>
                <w:rFonts w:hint="eastAsia" w:ascii="宋体" w:hAnsi="宋体"/>
                <w:b/>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2" w:type="dxa"/>
            <w:vAlign w:val="center"/>
          </w:tcPr>
          <w:p>
            <w:pPr>
              <w:widowControl/>
              <w:tabs>
                <w:tab w:val="left" w:pos="200"/>
              </w:tabs>
              <w:spacing w:line="360" w:lineRule="auto"/>
              <w:ind w:right="-24"/>
              <w:jc w:val="center"/>
              <w:rPr>
                <w:rFonts w:ascii="宋体" w:hAnsi="宋体"/>
                <w:b/>
                <w:szCs w:val="21"/>
              </w:rPr>
            </w:pPr>
            <w:r>
              <w:rPr>
                <w:rFonts w:hint="eastAsia" w:ascii="宋体" w:hAnsi="宋体"/>
                <w:b/>
                <w:szCs w:val="21"/>
              </w:rPr>
              <w:t>3.2</w:t>
            </w:r>
          </w:p>
        </w:tc>
        <w:tc>
          <w:tcPr>
            <w:tcW w:w="1037" w:type="dxa"/>
            <w:vMerge w:val="restart"/>
            <w:vAlign w:val="center"/>
          </w:tcPr>
          <w:p>
            <w:pPr>
              <w:spacing w:line="360" w:lineRule="auto"/>
              <w:jc w:val="center"/>
              <w:rPr>
                <w:rFonts w:ascii="宋体" w:hAnsi="宋体"/>
                <w:b/>
                <w:szCs w:val="21"/>
              </w:rPr>
            </w:pPr>
            <w:r>
              <w:rPr>
                <w:rFonts w:hint="eastAsia" w:ascii="宋体" w:hAnsi="宋体"/>
                <w:b/>
                <w:szCs w:val="21"/>
              </w:rPr>
              <w:t>服务</w:t>
            </w:r>
          </w:p>
          <w:p>
            <w:pPr>
              <w:spacing w:line="360" w:lineRule="auto"/>
              <w:jc w:val="center"/>
              <w:rPr>
                <w:rFonts w:ascii="宋体" w:hAnsi="宋体"/>
                <w:b/>
                <w:szCs w:val="21"/>
              </w:rPr>
            </w:pPr>
            <w:r>
              <w:rPr>
                <w:rFonts w:hint="eastAsia" w:ascii="宋体" w:hAnsi="宋体"/>
                <w:b/>
                <w:szCs w:val="21"/>
              </w:rPr>
              <w:t>业绩</w:t>
            </w:r>
          </w:p>
        </w:tc>
        <w:tc>
          <w:tcPr>
            <w:tcW w:w="6593" w:type="dxa"/>
            <w:vAlign w:val="center"/>
          </w:tcPr>
          <w:p>
            <w:pPr>
              <w:spacing w:line="360" w:lineRule="auto"/>
              <w:ind w:firstLine="420" w:firstLineChars="200"/>
              <w:rPr>
                <w:rFonts w:ascii="宋体" w:hAnsi="宋体"/>
                <w:szCs w:val="21"/>
              </w:rPr>
            </w:pPr>
            <w:r>
              <w:rPr>
                <w:rFonts w:hint="eastAsia" w:ascii="宋体" w:hAnsi="宋体"/>
                <w:szCs w:val="21"/>
              </w:rPr>
              <w:t>供应商注册地在南京或外地供应商在南京设有分公司或常驻售后服务机构，能提供本地化技术支持服务的得2分（投标文件中提供相关证明材料）。</w:t>
            </w:r>
          </w:p>
        </w:tc>
        <w:tc>
          <w:tcPr>
            <w:tcW w:w="784" w:type="dxa"/>
            <w:vAlign w:val="center"/>
          </w:tcPr>
          <w:p>
            <w:pPr>
              <w:autoSpaceDE w:val="0"/>
              <w:autoSpaceDN w:val="0"/>
              <w:adjustRightInd w:val="0"/>
              <w:spacing w:line="360" w:lineRule="auto"/>
              <w:jc w:val="center"/>
              <w:rPr>
                <w:rFonts w:ascii="宋体" w:hAnsi="宋体"/>
                <w:b/>
                <w:bCs/>
                <w:szCs w:val="21"/>
              </w:rPr>
            </w:pPr>
            <w:r>
              <w:rPr>
                <w:rFonts w:hint="eastAsia" w:ascii="宋体" w:hAnsi="宋体"/>
                <w:b/>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widowControl/>
              <w:spacing w:line="360" w:lineRule="auto"/>
              <w:ind w:right="-24"/>
              <w:jc w:val="center"/>
              <w:rPr>
                <w:rFonts w:ascii="宋体" w:hAnsi="宋体"/>
                <w:b/>
                <w:szCs w:val="21"/>
              </w:rPr>
            </w:pPr>
            <w:r>
              <w:rPr>
                <w:rFonts w:hint="eastAsia" w:ascii="宋体" w:hAnsi="宋体"/>
                <w:b/>
                <w:szCs w:val="21"/>
              </w:rPr>
              <w:t>4</w:t>
            </w:r>
          </w:p>
        </w:tc>
        <w:tc>
          <w:tcPr>
            <w:tcW w:w="1037" w:type="dxa"/>
            <w:vMerge w:val="continue"/>
            <w:vAlign w:val="center"/>
          </w:tcPr>
          <w:p>
            <w:pPr>
              <w:spacing w:line="360" w:lineRule="auto"/>
              <w:jc w:val="center"/>
              <w:rPr>
                <w:rFonts w:ascii="宋体" w:hAnsi="宋体"/>
                <w:b/>
                <w:szCs w:val="21"/>
              </w:rPr>
            </w:pPr>
          </w:p>
        </w:tc>
        <w:tc>
          <w:tcPr>
            <w:tcW w:w="6593" w:type="dxa"/>
            <w:vAlign w:val="center"/>
          </w:tcPr>
          <w:p>
            <w:pPr>
              <w:spacing w:line="360" w:lineRule="auto"/>
              <w:ind w:firstLine="420" w:firstLineChars="200"/>
              <w:rPr>
                <w:rFonts w:ascii="宋体" w:hAnsi="宋体"/>
                <w:szCs w:val="21"/>
              </w:rPr>
            </w:pPr>
            <w:r>
              <w:rPr>
                <w:rFonts w:hint="eastAsia" w:ascii="宋体" w:hAnsi="宋体"/>
                <w:szCs w:val="21"/>
              </w:rPr>
              <w:t>根据供应商2015年1月1日以来业绩进行综合评分：</w:t>
            </w:r>
          </w:p>
          <w:p>
            <w:pPr>
              <w:spacing w:line="360" w:lineRule="auto"/>
              <w:ind w:firstLine="420" w:firstLineChars="200"/>
              <w:rPr>
                <w:rFonts w:ascii="宋体" w:hAnsi="宋体"/>
                <w:szCs w:val="21"/>
              </w:rPr>
            </w:pPr>
            <w:r>
              <w:rPr>
                <w:rFonts w:hint="eastAsia" w:ascii="宋体" w:hAnsi="宋体"/>
                <w:szCs w:val="21"/>
              </w:rPr>
              <w:t>（1）供应商具有单项合同额超过（含）10万以上中央空调系统维修合同，每提供1份得2分，最多得6分；</w:t>
            </w:r>
          </w:p>
          <w:p>
            <w:pPr>
              <w:spacing w:line="360" w:lineRule="auto"/>
              <w:ind w:firstLine="420" w:firstLineChars="200"/>
              <w:rPr>
                <w:rFonts w:ascii="宋体" w:hAnsi="宋体"/>
                <w:szCs w:val="21"/>
              </w:rPr>
            </w:pPr>
            <w:r>
              <w:rPr>
                <w:rFonts w:hint="eastAsia" w:ascii="宋体" w:hAnsi="宋体"/>
                <w:szCs w:val="21"/>
              </w:rPr>
              <w:t>（2）供应商具有类似本项目安装项目且合同金额超过（含）70万以上的得2分；</w:t>
            </w:r>
          </w:p>
          <w:p>
            <w:pPr>
              <w:spacing w:line="360" w:lineRule="auto"/>
              <w:ind w:firstLine="420" w:firstLineChars="200"/>
              <w:rPr>
                <w:rFonts w:ascii="宋体" w:hAnsi="宋体"/>
                <w:szCs w:val="21"/>
              </w:rPr>
            </w:pPr>
            <w:r>
              <w:rPr>
                <w:rFonts w:hint="eastAsia" w:ascii="宋体" w:hAnsi="宋体"/>
                <w:szCs w:val="21"/>
              </w:rPr>
              <w:t>（以合同签订时间为准，提供复印件，合同应能反映相关信息，不提供该项不得分）。</w:t>
            </w:r>
          </w:p>
        </w:tc>
        <w:tc>
          <w:tcPr>
            <w:tcW w:w="784" w:type="dxa"/>
            <w:vAlign w:val="center"/>
          </w:tcPr>
          <w:p>
            <w:pPr>
              <w:autoSpaceDE w:val="0"/>
              <w:autoSpaceDN w:val="0"/>
              <w:adjustRightInd w:val="0"/>
              <w:spacing w:line="360" w:lineRule="auto"/>
              <w:jc w:val="center"/>
              <w:rPr>
                <w:rFonts w:ascii="宋体" w:hAnsi="宋体"/>
                <w:b/>
                <w:bCs/>
                <w:szCs w:val="21"/>
              </w:rPr>
            </w:pPr>
            <w:r>
              <w:rPr>
                <w:rFonts w:hint="eastAsia" w:ascii="宋体" w:hAnsi="宋体"/>
                <w:b/>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spacing w:line="360" w:lineRule="auto"/>
              <w:jc w:val="center"/>
              <w:rPr>
                <w:rFonts w:ascii="宋体" w:hAnsi="宋体"/>
                <w:b/>
                <w:szCs w:val="21"/>
              </w:rPr>
            </w:pPr>
            <w:r>
              <w:rPr>
                <w:rFonts w:hint="eastAsia" w:ascii="宋体" w:hAnsi="宋体"/>
                <w:b/>
                <w:szCs w:val="21"/>
              </w:rPr>
              <w:t>5</w:t>
            </w:r>
          </w:p>
        </w:tc>
        <w:tc>
          <w:tcPr>
            <w:tcW w:w="1037" w:type="dxa"/>
            <w:vAlign w:val="center"/>
          </w:tcPr>
          <w:p>
            <w:pPr>
              <w:spacing w:line="360" w:lineRule="auto"/>
              <w:jc w:val="center"/>
              <w:rPr>
                <w:rFonts w:ascii="宋体" w:hAnsi="宋体"/>
                <w:b/>
                <w:szCs w:val="21"/>
              </w:rPr>
            </w:pPr>
            <w:r>
              <w:rPr>
                <w:rFonts w:hint="eastAsia" w:ascii="宋体" w:hAnsi="宋体"/>
                <w:b/>
                <w:szCs w:val="21"/>
              </w:rPr>
              <w:t>履约</w:t>
            </w:r>
          </w:p>
          <w:p>
            <w:pPr>
              <w:spacing w:line="360" w:lineRule="auto"/>
              <w:jc w:val="center"/>
              <w:rPr>
                <w:rFonts w:ascii="宋体" w:hAnsi="宋体"/>
                <w:b/>
                <w:szCs w:val="21"/>
              </w:rPr>
            </w:pPr>
            <w:r>
              <w:rPr>
                <w:rFonts w:hint="eastAsia" w:ascii="宋体" w:hAnsi="宋体"/>
                <w:b/>
                <w:szCs w:val="21"/>
              </w:rPr>
              <w:t>能力</w:t>
            </w:r>
          </w:p>
        </w:tc>
        <w:tc>
          <w:tcPr>
            <w:tcW w:w="6593" w:type="dxa"/>
            <w:vAlign w:val="center"/>
          </w:tcPr>
          <w:p>
            <w:pPr>
              <w:spacing w:line="360" w:lineRule="auto"/>
              <w:ind w:firstLine="420" w:firstLineChars="200"/>
              <w:rPr>
                <w:rFonts w:ascii="宋体" w:hAnsi="宋体"/>
                <w:szCs w:val="21"/>
              </w:rPr>
            </w:pPr>
            <w:r>
              <w:rPr>
                <w:rFonts w:hint="eastAsia" w:ascii="宋体" w:hAnsi="宋体"/>
                <w:szCs w:val="21"/>
              </w:rPr>
              <w:t>供应商具有有效期内ISO9001质量管理认证、ISO14000环境体系认证、OHSAS18001或GB/T28001职业健康认证证书的，每提供一类得1分，最多得3分（投标文件中提供认证证书复印件）。</w:t>
            </w:r>
          </w:p>
        </w:tc>
        <w:tc>
          <w:tcPr>
            <w:tcW w:w="784" w:type="dxa"/>
            <w:vAlign w:val="center"/>
          </w:tcPr>
          <w:p>
            <w:pPr>
              <w:spacing w:line="360" w:lineRule="auto"/>
              <w:jc w:val="center"/>
              <w:rPr>
                <w:rFonts w:ascii="宋体" w:hAnsi="宋体"/>
                <w:b/>
                <w:szCs w:val="21"/>
              </w:rPr>
            </w:pPr>
            <w:r>
              <w:rPr>
                <w:rFonts w:hint="eastAsia" w:ascii="宋体" w:hAnsi="宋体"/>
                <w:b/>
                <w:bCs/>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jc w:val="center"/>
        </w:trPr>
        <w:tc>
          <w:tcPr>
            <w:tcW w:w="762" w:type="dxa"/>
            <w:vAlign w:val="center"/>
          </w:tcPr>
          <w:p>
            <w:pPr>
              <w:widowControl/>
              <w:spacing w:line="360" w:lineRule="auto"/>
              <w:jc w:val="center"/>
              <w:rPr>
                <w:rFonts w:ascii="宋体" w:hAnsi="宋体"/>
                <w:b/>
                <w:szCs w:val="21"/>
              </w:rPr>
            </w:pPr>
            <w:r>
              <w:rPr>
                <w:rFonts w:hint="eastAsia" w:ascii="宋体" w:hAnsi="宋体"/>
                <w:b/>
                <w:szCs w:val="21"/>
              </w:rPr>
              <w:t>6.1</w:t>
            </w:r>
          </w:p>
        </w:tc>
        <w:tc>
          <w:tcPr>
            <w:tcW w:w="1037" w:type="dxa"/>
            <w:vMerge w:val="restart"/>
            <w:vAlign w:val="center"/>
          </w:tcPr>
          <w:p>
            <w:pPr>
              <w:spacing w:line="360" w:lineRule="auto"/>
              <w:jc w:val="center"/>
              <w:rPr>
                <w:rFonts w:ascii="宋体" w:hAnsi="宋体"/>
                <w:b/>
                <w:szCs w:val="21"/>
              </w:rPr>
            </w:pPr>
            <w:r>
              <w:rPr>
                <w:rFonts w:hint="eastAsia" w:ascii="宋体" w:hAnsi="宋体"/>
                <w:b/>
                <w:szCs w:val="21"/>
              </w:rPr>
              <w:t>信誉</w:t>
            </w:r>
          </w:p>
          <w:p>
            <w:pPr>
              <w:spacing w:line="360" w:lineRule="auto"/>
              <w:jc w:val="center"/>
              <w:rPr>
                <w:rFonts w:ascii="宋体" w:hAnsi="宋体"/>
                <w:b/>
                <w:szCs w:val="21"/>
              </w:rPr>
            </w:pPr>
          </w:p>
        </w:tc>
        <w:tc>
          <w:tcPr>
            <w:tcW w:w="6593" w:type="dxa"/>
            <w:vAlign w:val="center"/>
          </w:tcPr>
          <w:p>
            <w:pPr>
              <w:widowControl/>
              <w:spacing w:line="360" w:lineRule="auto"/>
              <w:ind w:firstLine="420" w:firstLineChars="200"/>
              <w:rPr>
                <w:rFonts w:ascii="宋体" w:hAnsi="宋体"/>
                <w:szCs w:val="21"/>
              </w:rPr>
            </w:pPr>
            <w:r>
              <w:rPr>
                <w:rFonts w:hint="eastAsia" w:ascii="宋体" w:hAnsi="宋体"/>
                <w:szCs w:val="21"/>
              </w:rPr>
              <w:t>供应商具有</w:t>
            </w:r>
            <w:r>
              <w:rPr>
                <w:rFonts w:hint="eastAsia" w:ascii="Arial" w:hAnsi="Arial" w:cs="Arial"/>
                <w:szCs w:val="21"/>
                <w:shd w:val="clear" w:color="auto" w:fill="FFFFFF"/>
              </w:rPr>
              <w:t>中国建筑机电设备维修安装企业资质证书</w:t>
            </w:r>
            <w:r>
              <w:rPr>
                <w:rFonts w:hint="eastAsia" w:ascii="宋体" w:hAnsi="宋体"/>
                <w:szCs w:val="21"/>
              </w:rPr>
              <w:t>三级及以上资质的得2分（投标文件中提供证书复印件）。</w:t>
            </w:r>
          </w:p>
        </w:tc>
        <w:tc>
          <w:tcPr>
            <w:tcW w:w="784" w:type="dxa"/>
            <w:vAlign w:val="center"/>
          </w:tcPr>
          <w:p>
            <w:pPr>
              <w:widowControl/>
              <w:spacing w:line="360" w:lineRule="auto"/>
              <w:jc w:val="center"/>
              <w:rPr>
                <w:rFonts w:ascii="宋体" w:hAnsi="宋体"/>
                <w:b/>
                <w:bCs/>
                <w:szCs w:val="21"/>
              </w:rPr>
            </w:pPr>
            <w:r>
              <w:rPr>
                <w:rFonts w:hint="eastAsia" w:ascii="宋体" w:hAnsi="宋体"/>
                <w:b/>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widowControl/>
              <w:spacing w:line="360" w:lineRule="auto"/>
              <w:jc w:val="center"/>
              <w:rPr>
                <w:rFonts w:ascii="宋体" w:hAnsi="宋体"/>
                <w:b/>
                <w:szCs w:val="21"/>
              </w:rPr>
            </w:pPr>
            <w:r>
              <w:rPr>
                <w:rFonts w:hint="eastAsia" w:ascii="宋体" w:hAnsi="宋体"/>
                <w:b/>
                <w:szCs w:val="21"/>
              </w:rPr>
              <w:t>6.2</w:t>
            </w:r>
          </w:p>
        </w:tc>
        <w:tc>
          <w:tcPr>
            <w:tcW w:w="1037" w:type="dxa"/>
            <w:vMerge w:val="continue"/>
            <w:vAlign w:val="center"/>
          </w:tcPr>
          <w:p>
            <w:pPr>
              <w:spacing w:line="360" w:lineRule="auto"/>
              <w:jc w:val="center"/>
              <w:rPr>
                <w:rFonts w:ascii="宋体" w:hAnsi="宋体"/>
                <w:b/>
                <w:szCs w:val="21"/>
              </w:rPr>
            </w:pPr>
          </w:p>
        </w:tc>
        <w:tc>
          <w:tcPr>
            <w:tcW w:w="6593" w:type="dxa"/>
            <w:vAlign w:val="center"/>
          </w:tcPr>
          <w:p>
            <w:pPr>
              <w:widowControl/>
              <w:spacing w:line="360" w:lineRule="auto"/>
              <w:ind w:firstLine="420" w:firstLineChars="200"/>
              <w:rPr>
                <w:rFonts w:ascii="宋体" w:hAnsi="宋体"/>
                <w:szCs w:val="21"/>
              </w:rPr>
            </w:pPr>
            <w:r>
              <w:rPr>
                <w:rFonts w:hint="eastAsia" w:ascii="宋体" w:hAnsi="宋体"/>
                <w:szCs w:val="21"/>
              </w:rPr>
              <w:t>供应商具有中国制冷空调设备维修安装企业资质证书的得2分（投标文件中提供证书复印件）。</w:t>
            </w:r>
          </w:p>
        </w:tc>
        <w:tc>
          <w:tcPr>
            <w:tcW w:w="784" w:type="dxa"/>
            <w:vAlign w:val="center"/>
          </w:tcPr>
          <w:p>
            <w:pPr>
              <w:widowControl/>
              <w:spacing w:line="360" w:lineRule="auto"/>
              <w:jc w:val="center"/>
              <w:rPr>
                <w:rFonts w:ascii="宋体" w:hAnsi="宋体"/>
                <w:b/>
                <w:bCs/>
                <w:szCs w:val="21"/>
              </w:rPr>
            </w:pPr>
            <w:r>
              <w:rPr>
                <w:rFonts w:hint="eastAsia" w:ascii="宋体" w:hAnsi="宋体"/>
                <w:b/>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widowControl/>
              <w:spacing w:line="360" w:lineRule="auto"/>
              <w:jc w:val="center"/>
              <w:rPr>
                <w:rFonts w:ascii="宋体" w:hAnsi="宋体"/>
                <w:b/>
                <w:szCs w:val="21"/>
              </w:rPr>
            </w:pPr>
            <w:r>
              <w:rPr>
                <w:rFonts w:hint="eastAsia" w:ascii="宋体" w:hAnsi="宋体"/>
                <w:b/>
                <w:bCs/>
                <w:szCs w:val="21"/>
              </w:rPr>
              <w:t>7</w:t>
            </w:r>
          </w:p>
        </w:tc>
        <w:tc>
          <w:tcPr>
            <w:tcW w:w="1037" w:type="dxa"/>
            <w:vAlign w:val="center"/>
          </w:tcPr>
          <w:p>
            <w:pPr>
              <w:spacing w:line="360" w:lineRule="auto"/>
              <w:jc w:val="center"/>
              <w:rPr>
                <w:rFonts w:ascii="宋体" w:hAnsi="宋体"/>
                <w:b/>
                <w:szCs w:val="21"/>
              </w:rPr>
            </w:pPr>
            <w:r>
              <w:rPr>
                <w:rFonts w:hint="eastAsia" w:ascii="宋体" w:hAnsi="宋体"/>
                <w:b/>
                <w:szCs w:val="21"/>
              </w:rPr>
              <w:t>响应</w:t>
            </w:r>
          </w:p>
          <w:p>
            <w:pPr>
              <w:spacing w:line="360" w:lineRule="auto"/>
              <w:jc w:val="center"/>
              <w:rPr>
                <w:rFonts w:ascii="宋体" w:hAnsi="宋体"/>
                <w:b/>
                <w:szCs w:val="21"/>
              </w:rPr>
            </w:pPr>
            <w:r>
              <w:rPr>
                <w:rFonts w:hint="eastAsia" w:ascii="宋体" w:hAnsi="宋体"/>
                <w:b/>
                <w:szCs w:val="21"/>
              </w:rPr>
              <w:t>程度</w:t>
            </w:r>
          </w:p>
        </w:tc>
        <w:tc>
          <w:tcPr>
            <w:tcW w:w="6593" w:type="dxa"/>
            <w:vAlign w:val="center"/>
          </w:tcPr>
          <w:p>
            <w:pPr>
              <w:widowControl/>
              <w:spacing w:line="360" w:lineRule="auto"/>
              <w:ind w:firstLine="420" w:firstLineChars="200"/>
              <w:rPr>
                <w:rFonts w:ascii="宋体" w:hAnsi="宋体"/>
                <w:szCs w:val="21"/>
              </w:rPr>
            </w:pPr>
            <w:r>
              <w:rPr>
                <w:rFonts w:hint="eastAsia" w:ascii="宋体" w:hAnsi="宋体"/>
                <w:szCs w:val="21"/>
              </w:rPr>
              <w:t>根据投标文件对招标文件的响应程度评分，做到内容齐全、详实，评委评分导览清晰，装订整齐的，最优得1分，一般得0.5分，差不得分。</w:t>
            </w:r>
          </w:p>
        </w:tc>
        <w:tc>
          <w:tcPr>
            <w:tcW w:w="784" w:type="dxa"/>
            <w:vAlign w:val="center"/>
          </w:tcPr>
          <w:p>
            <w:pPr>
              <w:widowControl/>
              <w:spacing w:line="360" w:lineRule="auto"/>
              <w:jc w:val="center"/>
              <w:rPr>
                <w:rFonts w:ascii="宋体" w:hAnsi="宋体"/>
                <w:b/>
                <w:bCs/>
                <w:szCs w:val="21"/>
              </w:rPr>
            </w:pPr>
            <w:r>
              <w:rPr>
                <w:rFonts w:hint="eastAsia" w:ascii="宋体" w:hAnsi="宋体"/>
                <w:b/>
                <w:bCs/>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Align w:val="center"/>
          </w:tcPr>
          <w:p>
            <w:pPr>
              <w:widowControl/>
              <w:spacing w:line="360" w:lineRule="auto"/>
              <w:jc w:val="center"/>
              <w:rPr>
                <w:rFonts w:ascii="宋体" w:hAnsi="宋体"/>
                <w:b/>
                <w:szCs w:val="21"/>
              </w:rPr>
            </w:pPr>
          </w:p>
        </w:tc>
        <w:tc>
          <w:tcPr>
            <w:tcW w:w="1037" w:type="dxa"/>
            <w:vAlign w:val="center"/>
          </w:tcPr>
          <w:p>
            <w:pPr>
              <w:spacing w:line="360" w:lineRule="auto"/>
              <w:jc w:val="center"/>
              <w:rPr>
                <w:rFonts w:ascii="宋体" w:hAnsi="宋体"/>
                <w:b/>
                <w:szCs w:val="21"/>
              </w:rPr>
            </w:pPr>
          </w:p>
        </w:tc>
        <w:tc>
          <w:tcPr>
            <w:tcW w:w="6593" w:type="dxa"/>
            <w:vAlign w:val="center"/>
          </w:tcPr>
          <w:p>
            <w:pPr>
              <w:widowControl/>
              <w:spacing w:line="360" w:lineRule="auto"/>
              <w:ind w:firstLine="420" w:firstLineChars="200"/>
              <w:rPr>
                <w:rFonts w:ascii="宋体" w:hAnsi="宋体"/>
                <w:szCs w:val="21"/>
              </w:rPr>
            </w:pPr>
          </w:p>
        </w:tc>
        <w:tc>
          <w:tcPr>
            <w:tcW w:w="784" w:type="dxa"/>
            <w:vAlign w:val="center"/>
          </w:tcPr>
          <w:p>
            <w:pPr>
              <w:widowControl/>
              <w:spacing w:line="360" w:lineRule="auto"/>
              <w:jc w:val="center"/>
              <w:rPr>
                <w:rFonts w:ascii="宋体" w:hAnsi="宋体"/>
                <w:b/>
                <w:szCs w:val="21"/>
              </w:rPr>
            </w:pPr>
          </w:p>
        </w:tc>
      </w:tr>
    </w:tbl>
    <w:p>
      <w:pPr>
        <w:widowControl/>
        <w:spacing w:line="360" w:lineRule="auto"/>
        <w:jc w:val="left"/>
        <w:rPr>
          <w:rFonts w:ascii="仿宋_GB2312" w:eastAsia="仿宋_GB2312"/>
          <w:sz w:val="28"/>
          <w:szCs w:val="28"/>
        </w:rPr>
      </w:pPr>
    </w:p>
    <w:p>
      <w:pPr>
        <w:pStyle w:val="16"/>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、评标结束后，投标人可至</w:t>
      </w:r>
      <w:r>
        <w:rPr>
          <w:rFonts w:hint="eastAsia" w:asciiTheme="minorEastAsia" w:hAnsiTheme="minorEastAsia" w:eastAsiaTheme="minorEastAsia"/>
          <w:szCs w:val="21"/>
        </w:rPr>
        <w:t>江苏开放大学首页下方（http://www.jsou.cn/）</w:t>
      </w:r>
      <w:r>
        <w:rPr>
          <w:rFonts w:asciiTheme="minorEastAsia" w:hAnsiTheme="minorEastAsia" w:eastAsiaTheme="minorEastAsia"/>
          <w:szCs w:val="21"/>
        </w:rPr>
        <w:t>“</w:t>
      </w:r>
      <w:r>
        <w:rPr>
          <w:rFonts w:hint="eastAsia" w:asciiTheme="minorEastAsia" w:hAnsiTheme="minorEastAsia" w:eastAsiaTheme="minorEastAsia"/>
          <w:szCs w:val="21"/>
        </w:rPr>
        <w:t>招标</w:t>
      </w:r>
      <w:r>
        <w:rPr>
          <w:rFonts w:asciiTheme="minorEastAsia" w:hAnsiTheme="minorEastAsia" w:eastAsiaTheme="minorEastAsia"/>
          <w:szCs w:val="21"/>
        </w:rPr>
        <w:t>公告”栏的</w:t>
      </w:r>
      <w:r>
        <w:rPr>
          <w:rFonts w:hint="eastAsia" w:asciiTheme="minorEastAsia" w:hAnsiTheme="minorEastAsia" w:eastAsiaTheme="minorEastAsia"/>
          <w:szCs w:val="21"/>
        </w:rPr>
        <w:t>“中标公示”</w:t>
      </w:r>
      <w:r>
        <w:rPr>
          <w:rFonts w:asciiTheme="minorEastAsia" w:hAnsiTheme="minorEastAsia" w:eastAsiaTheme="minorEastAsia"/>
          <w:szCs w:val="21"/>
        </w:rPr>
        <w:t>中</w:t>
      </w:r>
      <w:r>
        <w:rPr>
          <w:rFonts w:hint="eastAsia" w:asciiTheme="minorEastAsia" w:hAnsiTheme="minorEastAsia" w:eastAsiaTheme="minorEastAsia"/>
          <w:szCs w:val="21"/>
        </w:rPr>
        <w:t>查看</w:t>
      </w:r>
      <w:r>
        <w:rPr>
          <w:rFonts w:asciiTheme="minorEastAsia" w:hAnsiTheme="minorEastAsia" w:eastAsiaTheme="minorEastAsia"/>
          <w:szCs w:val="21"/>
        </w:rPr>
        <w:t>公示最终结果。</w:t>
      </w:r>
    </w:p>
    <w:p>
      <w:pPr>
        <w:pStyle w:val="5"/>
        <w:rPr>
          <w:rStyle w:val="29"/>
          <w:rFonts w:ascii="Times New Roman" w:hAnsi="Times New Roman"/>
          <w:b/>
          <w:bCs w:val="0"/>
          <w:sz w:val="21"/>
          <w:szCs w:val="21"/>
        </w:rPr>
      </w:pPr>
      <w:bookmarkStart w:id="22" w:name="_Toc384844738"/>
      <w:bookmarkStart w:id="23" w:name="_Toc386980215"/>
      <w:bookmarkStart w:id="24" w:name="_Toc455914610"/>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2"/>
      <w:bookmarkEnd w:id="23"/>
      <w:bookmarkEnd w:id="24"/>
      <w:bookmarkStart w:id="25" w:name="_Toc455914611"/>
      <w:bookmarkStart w:id="26" w:name="_Toc384844739"/>
      <w:bookmarkStart w:id="27" w:name="_Toc386980216"/>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5"/>
      <w:bookmarkEnd w:id="26"/>
      <w:bookmarkEnd w:id="27"/>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8"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8"/>
    </w:p>
    <w:p>
      <w:pPr>
        <w:pStyle w:val="16"/>
        <w:spacing w:line="360" w:lineRule="auto"/>
        <w:ind w:firstLine="420" w:firstLineChars="200"/>
        <w:rPr>
          <w:rFonts w:ascii="Times New Roman" w:hAnsi="Times New Roman"/>
          <w:szCs w:val="21"/>
        </w:rPr>
      </w:pPr>
      <w:bookmarkStart w:id="29"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29"/>
    <w:p>
      <w:pPr>
        <w:pStyle w:val="5"/>
        <w:rPr>
          <w:rFonts w:ascii="Times New Roman" w:hAnsi="Times New Roman"/>
          <w:sz w:val="21"/>
          <w:szCs w:val="21"/>
        </w:rPr>
      </w:pPr>
      <w:bookmarkStart w:id="30" w:name="_Toc384844740"/>
      <w:bookmarkStart w:id="31" w:name="_Toc386980217"/>
      <w:bookmarkStart w:id="32"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0"/>
      <w:bookmarkEnd w:id="31"/>
      <w:r>
        <w:rPr>
          <w:rFonts w:ascii="Times New Roman" w:hAnsi="Times New Roman"/>
          <w:sz w:val="21"/>
          <w:szCs w:val="21"/>
        </w:rPr>
        <w:t>签订</w:t>
      </w:r>
      <w:bookmarkEnd w:id="32"/>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本合同采用固定总价合同。投标单位按照招标内容，考察现场并自行编制方案，进行报价。报价为空调机组相关部件的拆除、采购、运输、保管、更换、调试、免费质保等完成招标内容所需的所有费用，包含人工费、材料费、机械费、管理费、利润、保险费、各项风险费用、规费、税金等。</w:t>
      </w:r>
    </w:p>
    <w:p>
      <w:pPr>
        <w:pStyle w:val="16"/>
        <w:spacing w:line="360" w:lineRule="auto"/>
        <w:ind w:firstLine="420" w:firstLineChars="200"/>
        <w:rPr>
          <w:rFonts w:ascii="Times New Roman" w:hAnsi="Times New Roman"/>
          <w:szCs w:val="21"/>
        </w:rPr>
      </w:pPr>
      <w:r>
        <w:rPr>
          <w:rFonts w:hint="eastAsia" w:ascii="Times New Roman" w:hAnsi="Times New Roman"/>
          <w:szCs w:val="21"/>
        </w:rPr>
        <w:t>4、付款方式：采购合同签订后，中标人完成本次维修改造相关部件采购、更换、调试，交付甲方使用，经验收合格，支付至合同价的95%；</w:t>
      </w:r>
      <w:r>
        <w:rPr>
          <w:rFonts w:hint="eastAsia" w:asciiTheme="minorEastAsia" w:hAnsiTheme="minorEastAsia" w:eastAsiaTheme="minorEastAsia"/>
          <w:snapToGrid w:val="0"/>
          <w:szCs w:val="21"/>
        </w:rPr>
        <w:t>余款于项目</w:t>
      </w:r>
      <w:r>
        <w:rPr>
          <w:rFonts w:hint="eastAsia" w:asciiTheme="minorEastAsia" w:hAnsiTheme="minorEastAsia" w:eastAsiaTheme="minorEastAsia"/>
          <w:snapToGrid w:val="0"/>
          <w:szCs w:val="21"/>
          <w:lang w:eastAsia="zh-CN"/>
        </w:rPr>
        <w:t>保修期满（</w:t>
      </w:r>
      <w:r>
        <w:rPr>
          <w:rFonts w:hint="eastAsia" w:asciiTheme="minorEastAsia" w:hAnsiTheme="minorEastAsia" w:eastAsiaTheme="minorEastAsia"/>
          <w:snapToGrid w:val="0"/>
          <w:szCs w:val="21"/>
        </w:rPr>
        <w:t>验收合格之日起</w:t>
      </w:r>
      <w:r>
        <w:rPr>
          <w:rFonts w:hint="eastAsia" w:asciiTheme="minorEastAsia" w:hAnsiTheme="minorEastAsia" w:eastAsiaTheme="minorEastAsia"/>
          <w:snapToGrid w:val="0"/>
          <w:szCs w:val="21"/>
          <w:lang w:eastAsia="zh-CN"/>
        </w:rPr>
        <w:t>两</w:t>
      </w:r>
      <w:r>
        <w:rPr>
          <w:rFonts w:hint="eastAsia" w:asciiTheme="minorEastAsia" w:hAnsiTheme="minorEastAsia" w:eastAsiaTheme="minorEastAsia"/>
          <w:snapToGrid w:val="0"/>
          <w:szCs w:val="21"/>
        </w:rPr>
        <w:t>年</w:t>
      </w:r>
      <w:r>
        <w:rPr>
          <w:rFonts w:hint="eastAsia" w:asciiTheme="minorEastAsia" w:hAnsiTheme="minorEastAsia" w:eastAsiaTheme="minorEastAsia"/>
          <w:snapToGrid w:val="0"/>
          <w:szCs w:val="21"/>
          <w:lang w:eastAsia="zh-CN"/>
        </w:rPr>
        <w:t>）</w:t>
      </w:r>
      <w:r>
        <w:rPr>
          <w:rFonts w:hint="eastAsia" w:asciiTheme="minorEastAsia" w:hAnsiTheme="minorEastAsia" w:eastAsiaTheme="minorEastAsia"/>
          <w:snapToGrid w:val="0"/>
          <w:szCs w:val="21"/>
        </w:rPr>
        <w:t>后一次性全部付清。</w:t>
      </w: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p>
    <w:p>
      <w:pPr>
        <w:pStyle w:val="5"/>
        <w:spacing w:line="360" w:lineRule="auto"/>
        <w:jc w:val="center"/>
        <w:rPr>
          <w:rFonts w:ascii="Times New Roman" w:hAnsi="Times New Roman" w:eastAsia="楷体"/>
          <w:sz w:val="44"/>
        </w:rPr>
      </w:pPr>
      <w:bookmarkStart w:id="33" w:name="_Toc455914617"/>
      <w:r>
        <w:rPr>
          <w:rFonts w:ascii="Times New Roman" w:hAnsi="Times New Roman" w:eastAsia="楷体"/>
          <w:sz w:val="44"/>
        </w:rPr>
        <w:t>第三部分</w:t>
      </w:r>
      <w:r>
        <w:rPr>
          <w:rFonts w:hint="eastAsia" w:ascii="Times New Roman" w:hAnsi="Times New Roman" w:eastAsia="楷体"/>
          <w:sz w:val="44"/>
        </w:rPr>
        <w:t xml:space="preserve">  </w:t>
      </w:r>
      <w:r>
        <w:rPr>
          <w:rFonts w:ascii="Times New Roman" w:hAnsi="Times New Roman" w:eastAsia="楷体"/>
          <w:sz w:val="44"/>
        </w:rPr>
        <w:t>项目需求</w:t>
      </w:r>
      <w:bookmarkEnd w:id="33"/>
    </w:p>
    <w:tbl>
      <w:tblPr>
        <w:tblStyle w:val="35"/>
        <w:tblpPr w:leftFromText="180" w:rightFromText="180" w:horzAnchor="margin" w:tblpXSpec="center" w:tblpY="1845"/>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2861"/>
        <w:gridCol w:w="993"/>
        <w:gridCol w:w="861"/>
        <w:gridCol w:w="1211"/>
        <w:gridCol w:w="18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861" w:type="dxa"/>
          </w:tcPr>
          <w:p>
            <w:pPr>
              <w:widowControl/>
              <w:spacing w:line="360" w:lineRule="auto"/>
              <w:jc w:val="center"/>
              <w:rPr>
                <w:rFonts w:ascii="宋体" w:hAnsi="宋体" w:cs="宋体"/>
                <w:kern w:val="0"/>
                <w:sz w:val="24"/>
              </w:rPr>
            </w:pPr>
            <w:r>
              <w:rPr>
                <w:rFonts w:hint="eastAsia" w:ascii="宋体" w:hAnsi="宋体" w:cs="宋体"/>
                <w:kern w:val="0"/>
                <w:sz w:val="24"/>
              </w:rPr>
              <w:t>零件名称</w:t>
            </w:r>
          </w:p>
        </w:tc>
        <w:tc>
          <w:tcPr>
            <w:tcW w:w="993" w:type="dxa"/>
          </w:tcPr>
          <w:p>
            <w:pPr>
              <w:widowControl/>
              <w:spacing w:line="360" w:lineRule="auto"/>
              <w:jc w:val="center"/>
              <w:rPr>
                <w:rFonts w:ascii="宋体" w:hAnsi="宋体" w:cs="宋体"/>
                <w:kern w:val="0"/>
                <w:sz w:val="24"/>
              </w:rPr>
            </w:pPr>
            <w:r>
              <w:rPr>
                <w:rFonts w:hint="eastAsia" w:ascii="宋体" w:hAnsi="宋体" w:cs="宋体"/>
                <w:kern w:val="0"/>
                <w:sz w:val="24"/>
              </w:rPr>
              <w:t>数量</w:t>
            </w:r>
          </w:p>
        </w:tc>
        <w:tc>
          <w:tcPr>
            <w:tcW w:w="861" w:type="dxa"/>
          </w:tcPr>
          <w:p>
            <w:pPr>
              <w:widowControl/>
              <w:spacing w:line="360" w:lineRule="auto"/>
              <w:jc w:val="center"/>
              <w:rPr>
                <w:rFonts w:ascii="宋体" w:hAnsi="宋体" w:cs="宋体"/>
                <w:kern w:val="0"/>
                <w:sz w:val="24"/>
              </w:rPr>
            </w:pPr>
            <w:r>
              <w:rPr>
                <w:rFonts w:hint="eastAsia" w:ascii="宋体" w:hAnsi="宋体" w:cs="宋体"/>
                <w:kern w:val="0"/>
                <w:sz w:val="24"/>
              </w:rPr>
              <w:t>单价</w:t>
            </w:r>
          </w:p>
        </w:tc>
        <w:tc>
          <w:tcPr>
            <w:tcW w:w="1211" w:type="dxa"/>
            <w:tcBorders>
              <w:right w:val="single" w:color="auto" w:sz="4" w:space="0"/>
            </w:tcBorders>
          </w:tcPr>
          <w:p>
            <w:pPr>
              <w:widowControl/>
              <w:spacing w:line="360" w:lineRule="auto"/>
              <w:jc w:val="center"/>
              <w:rPr>
                <w:rFonts w:ascii="宋体" w:hAnsi="宋体" w:cs="宋体"/>
                <w:kern w:val="0"/>
                <w:sz w:val="24"/>
              </w:rPr>
            </w:pPr>
            <w:r>
              <w:rPr>
                <w:rFonts w:hint="eastAsia" w:ascii="宋体" w:hAnsi="宋体" w:cs="宋体"/>
                <w:kern w:val="0"/>
                <w:sz w:val="24"/>
              </w:rPr>
              <w:t>合计</w:t>
            </w:r>
          </w:p>
        </w:tc>
        <w:tc>
          <w:tcPr>
            <w:tcW w:w="1899" w:type="dxa"/>
            <w:tcBorders>
              <w:left w:val="single" w:color="auto" w:sz="4" w:space="0"/>
            </w:tcBorders>
          </w:tcPr>
          <w:p>
            <w:pPr>
              <w:widowControl/>
              <w:spacing w:line="360" w:lineRule="auto"/>
              <w:jc w:val="center"/>
              <w:rPr>
                <w:rFonts w:ascii="宋体" w:hAnsi="宋体" w:cs="宋体"/>
                <w:kern w:val="0"/>
                <w:sz w:val="24"/>
              </w:rPr>
            </w:pPr>
            <w:r>
              <w:rPr>
                <w:rFonts w:ascii="宋体" w:hAnsi="宋体" w:cs="宋体"/>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压缩机轴承套件</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1套</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汉钟专用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汉钟压缩机电机</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1台</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汉钟专用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pStyle w:val="82"/>
              <w:widowControl/>
              <w:numPr>
                <w:ilvl w:val="0"/>
                <w:numId w:val="6"/>
              </w:numPr>
              <w:spacing w:line="360" w:lineRule="auto"/>
              <w:ind w:firstLineChars="0"/>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压缩机密封套件</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1套</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汉钟专用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pStyle w:val="82"/>
              <w:widowControl/>
              <w:numPr>
                <w:ilvl w:val="0"/>
                <w:numId w:val="6"/>
              </w:numPr>
              <w:spacing w:line="360" w:lineRule="auto"/>
              <w:ind w:firstLineChars="0"/>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制冷剂</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10瓶</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杜邦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油过滤器</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1个</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汉钟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干燥过滤器</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4个</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汉钟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冷冻机专用油</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3桶</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汉钟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压缩机滑阀</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1台</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汉钟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返厂吊装</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1项</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人工</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1项</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DN200蝶阀</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10台</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盈风、上日、良工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DN200过滤器</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5台</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盈风、上日、良工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DN200蝶阀</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10台</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盈风、上日、良工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DN125电动调节阀</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2台</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盈风、上日、良工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温度传感器、控制柜套件</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2套</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盈风、上日、良工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DN200法兰片</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1项</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DN200无缝钢管</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1项</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国产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97" w:type="dxa"/>
          </w:tcPr>
          <w:p>
            <w:pPr>
              <w:widowControl/>
              <w:numPr>
                <w:ilvl w:val="0"/>
                <w:numId w:val="6"/>
              </w:numPr>
              <w:spacing w:line="360" w:lineRule="auto"/>
              <w:jc w:val="left"/>
              <w:rPr>
                <w:rFonts w:ascii="宋体" w:hAnsi="宋体" w:cs="宋体"/>
                <w:kern w:val="0"/>
                <w:sz w:val="24"/>
              </w:rPr>
            </w:pPr>
          </w:p>
        </w:tc>
        <w:tc>
          <w:tcPr>
            <w:tcW w:w="2861" w:type="dxa"/>
          </w:tcPr>
          <w:p>
            <w:pPr>
              <w:widowControl/>
              <w:spacing w:line="360" w:lineRule="auto"/>
              <w:jc w:val="left"/>
              <w:rPr>
                <w:rFonts w:ascii="宋体" w:hAnsi="宋体" w:cs="宋体"/>
                <w:kern w:val="0"/>
                <w:sz w:val="24"/>
              </w:rPr>
            </w:pPr>
            <w:r>
              <w:rPr>
                <w:rFonts w:hint="eastAsia" w:ascii="宋体" w:hAnsi="宋体" w:cs="宋体"/>
                <w:kern w:val="0"/>
                <w:szCs w:val="21"/>
              </w:rPr>
              <w:t>管道保温</w:t>
            </w:r>
          </w:p>
        </w:tc>
        <w:tc>
          <w:tcPr>
            <w:tcW w:w="993" w:type="dxa"/>
          </w:tcPr>
          <w:p>
            <w:pPr>
              <w:widowControl/>
              <w:spacing w:line="360" w:lineRule="auto"/>
              <w:jc w:val="left"/>
              <w:rPr>
                <w:rFonts w:ascii="宋体" w:hAnsi="宋体" w:cs="宋体"/>
                <w:kern w:val="0"/>
                <w:sz w:val="24"/>
              </w:rPr>
            </w:pPr>
            <w:r>
              <w:rPr>
                <w:rFonts w:hint="eastAsia" w:ascii="宋体" w:hAnsi="宋体" w:cs="宋体"/>
                <w:kern w:val="0"/>
                <w:szCs w:val="21"/>
              </w:rPr>
              <w:t>1项</w:t>
            </w:r>
          </w:p>
        </w:tc>
        <w:tc>
          <w:tcPr>
            <w:tcW w:w="861" w:type="dxa"/>
          </w:tcPr>
          <w:p>
            <w:pPr>
              <w:widowControl/>
              <w:spacing w:line="360" w:lineRule="auto"/>
              <w:jc w:val="left"/>
              <w:rPr>
                <w:rFonts w:ascii="宋体" w:hAnsi="宋体" w:cs="宋体"/>
                <w:kern w:val="0"/>
                <w:sz w:val="24"/>
              </w:rPr>
            </w:pPr>
          </w:p>
        </w:tc>
        <w:tc>
          <w:tcPr>
            <w:tcW w:w="1211" w:type="dxa"/>
            <w:tcBorders>
              <w:right w:val="single" w:color="auto" w:sz="4" w:space="0"/>
            </w:tcBorders>
          </w:tcPr>
          <w:p>
            <w:pPr>
              <w:widowControl/>
              <w:spacing w:line="360" w:lineRule="auto"/>
              <w:jc w:val="left"/>
              <w:rPr>
                <w:rFonts w:ascii="宋体" w:hAnsi="宋体" w:cs="宋体"/>
                <w:kern w:val="0"/>
                <w:sz w:val="24"/>
              </w:rPr>
            </w:pPr>
          </w:p>
        </w:tc>
        <w:tc>
          <w:tcPr>
            <w:tcW w:w="1899" w:type="dxa"/>
            <w:tcBorders>
              <w:left w:val="single" w:color="auto" w:sz="4" w:space="0"/>
            </w:tcBorders>
          </w:tcPr>
          <w:p>
            <w:pPr>
              <w:widowControl/>
              <w:spacing w:line="360" w:lineRule="auto"/>
              <w:jc w:val="left"/>
              <w:rPr>
                <w:rFonts w:ascii="宋体" w:hAnsi="宋体" w:cs="宋体"/>
                <w:kern w:val="0"/>
                <w:sz w:val="24"/>
              </w:rPr>
            </w:pPr>
            <w:r>
              <w:rPr>
                <w:rFonts w:hint="eastAsia" w:ascii="宋体" w:hAnsi="宋体" w:cs="宋体"/>
                <w:kern w:val="0"/>
                <w:szCs w:val="21"/>
              </w:rPr>
              <w:t>华美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5412" w:type="dxa"/>
            <w:gridSpan w:val="4"/>
          </w:tcPr>
          <w:p>
            <w:pPr>
              <w:widowControl/>
              <w:spacing w:line="360" w:lineRule="auto"/>
              <w:jc w:val="left"/>
              <w:rPr>
                <w:rFonts w:ascii="宋体" w:hAnsi="宋体" w:cs="宋体"/>
                <w:kern w:val="0"/>
                <w:sz w:val="24"/>
              </w:rPr>
            </w:pPr>
            <w:r>
              <w:rPr>
                <w:rFonts w:hint="eastAsia" w:ascii="宋体" w:hAnsi="宋体" w:cs="宋体"/>
                <w:kern w:val="0"/>
                <w:sz w:val="24"/>
              </w:rPr>
              <w:t xml:space="preserve">           总   计</w:t>
            </w:r>
          </w:p>
        </w:tc>
        <w:tc>
          <w:tcPr>
            <w:tcW w:w="3110" w:type="dxa"/>
            <w:gridSpan w:val="2"/>
          </w:tcPr>
          <w:p>
            <w:pPr>
              <w:widowControl/>
              <w:spacing w:line="360" w:lineRule="auto"/>
              <w:jc w:val="left"/>
              <w:rPr>
                <w:rFonts w:ascii="宋体" w:hAnsi="宋体" w:cs="宋体"/>
                <w:kern w:val="0"/>
                <w:sz w:val="24"/>
              </w:rPr>
            </w:pPr>
          </w:p>
        </w:tc>
      </w:tr>
    </w:tbl>
    <w:p>
      <w:pPr>
        <w:rPr>
          <w:rFonts w:asciiTheme="minorEastAsia" w:hAnsiTheme="minorEastAsia" w:eastAsiaTheme="minorEastAsia"/>
          <w:szCs w:val="21"/>
        </w:rPr>
      </w:pPr>
    </w:p>
    <w:p>
      <w:pPr>
        <w:rPr>
          <w:rFonts w:asciiTheme="minorEastAsia" w:hAnsiTheme="minorEastAsia" w:eastAsiaTheme="minorEastAsia"/>
          <w:szCs w:val="21"/>
        </w:rPr>
      </w:pPr>
      <w:r>
        <w:rPr>
          <w:rFonts w:hint="eastAsia"/>
          <w:szCs w:val="21"/>
        </w:rPr>
        <w:t>4#主机压缩机进行维修及相关阀门更换部件</w:t>
      </w:r>
      <w:r>
        <w:rPr>
          <w:rFonts w:hint="eastAsia" w:asciiTheme="minorEastAsia" w:hAnsiTheme="minorEastAsia" w:eastAsiaTheme="minorEastAsia"/>
          <w:szCs w:val="21"/>
        </w:rPr>
        <w:t>维修清单：</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 xml:space="preserve">  合同主要条款</w:t>
      </w:r>
    </w:p>
    <w:p/>
    <w:p>
      <w:pPr>
        <w:pStyle w:val="16"/>
        <w:spacing w:line="360" w:lineRule="auto"/>
        <w:ind w:firstLine="420" w:firstLineChars="200"/>
        <w:rPr>
          <w:rFonts w:ascii="Times New Roman" w:hAnsi="Times New Roman"/>
          <w:szCs w:val="21"/>
        </w:rPr>
      </w:pPr>
      <w:r>
        <w:rPr>
          <w:rFonts w:hint="eastAsia"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szCs w:val="21"/>
        </w:rPr>
      </w:pPr>
      <w:r>
        <w:rPr>
          <w:rFonts w:hint="eastAsia"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rPr>
          <w:rFonts w:ascii="宋体" w:hAnsi="宋体"/>
          <w:b/>
          <w:bCs/>
          <w:kern w:val="44"/>
          <w:sz w:val="44"/>
          <w:szCs w:val="44"/>
        </w:rPr>
      </w:pPr>
    </w:p>
    <w:p>
      <w:pPr>
        <w:spacing w:line="360" w:lineRule="auto"/>
        <w:jc w:val="center"/>
        <w:rPr>
          <w:rFonts w:asciiTheme="minorEastAsia" w:hAnsiTheme="minorEastAsia" w:eastAsiaTheme="minorEastAsia"/>
          <w:b/>
          <w:snapToGrid w:val="0"/>
          <w:szCs w:val="21"/>
        </w:rPr>
      </w:pPr>
      <w:r>
        <w:rPr>
          <w:rFonts w:hint="eastAsia" w:asciiTheme="minorEastAsia" w:hAnsiTheme="minorEastAsia" w:eastAsiaTheme="minorEastAsia"/>
          <w:b/>
          <w:snapToGrid w:val="0"/>
          <w:szCs w:val="21"/>
        </w:rPr>
        <w:t>维修项目采购合同</w:t>
      </w:r>
    </w:p>
    <w:p>
      <w:pPr>
        <w:spacing w:line="360" w:lineRule="auto"/>
        <w:ind w:firstLine="420" w:firstLineChars="200"/>
        <w:rPr>
          <w:rFonts w:asciiTheme="minorEastAsia" w:hAnsiTheme="minorEastAsia" w:eastAsiaTheme="minorEastAsia"/>
          <w:snapToGrid w:val="0"/>
          <w:szCs w:val="21"/>
          <w:u w:val="single"/>
        </w:rPr>
      </w:pPr>
      <w:r>
        <w:rPr>
          <w:rFonts w:asciiTheme="minorEastAsia" w:hAnsiTheme="minorEastAsia" w:eastAsiaTheme="minorEastAsia"/>
          <w:snapToGrid w:val="0"/>
          <w:szCs w:val="21"/>
        </w:rPr>
        <w:t>甲方（</w:t>
      </w:r>
      <w:r>
        <w:rPr>
          <w:rFonts w:hint="eastAsia" w:asciiTheme="minorEastAsia" w:hAnsiTheme="minorEastAsia" w:eastAsiaTheme="minorEastAsia"/>
          <w:snapToGrid w:val="0"/>
          <w:szCs w:val="21"/>
        </w:rPr>
        <w:t>采购方</w:t>
      </w:r>
      <w:r>
        <w:rPr>
          <w:rFonts w:asciiTheme="minorEastAsia" w:hAnsiTheme="minorEastAsia" w:eastAsiaTheme="minorEastAsia"/>
          <w:snapToGrid w:val="0"/>
          <w:szCs w:val="21"/>
        </w:rPr>
        <w:t>）：</w:t>
      </w:r>
      <w:r>
        <w:rPr>
          <w:rFonts w:hint="eastAsia" w:asciiTheme="minorEastAsia" w:hAnsiTheme="minorEastAsia" w:eastAsiaTheme="minorEastAsia"/>
          <w:snapToGrid w:val="0"/>
          <w:szCs w:val="21"/>
          <w:u w:val="single"/>
        </w:rPr>
        <w:t xml:space="preserve">             </w:t>
      </w:r>
    </w:p>
    <w:p>
      <w:pPr>
        <w:spacing w:line="360" w:lineRule="auto"/>
        <w:ind w:firstLine="420" w:firstLineChars="200"/>
        <w:rPr>
          <w:rFonts w:asciiTheme="minorEastAsia" w:hAnsiTheme="minorEastAsia" w:eastAsiaTheme="minorEastAsia"/>
          <w:snapToGrid w:val="0"/>
          <w:szCs w:val="21"/>
        </w:rPr>
      </w:pPr>
      <w:r>
        <w:rPr>
          <w:rFonts w:asciiTheme="minorEastAsia" w:hAnsiTheme="minorEastAsia" w:eastAsiaTheme="minorEastAsia"/>
          <w:snapToGrid w:val="0"/>
          <w:szCs w:val="21"/>
        </w:rPr>
        <w:t>乙方（</w:t>
      </w:r>
      <w:r>
        <w:rPr>
          <w:rFonts w:hint="eastAsia" w:asciiTheme="minorEastAsia" w:hAnsiTheme="minorEastAsia" w:eastAsiaTheme="minorEastAsia"/>
          <w:snapToGrid w:val="0"/>
          <w:szCs w:val="21"/>
        </w:rPr>
        <w:t>供货方</w:t>
      </w:r>
      <w:r>
        <w:rPr>
          <w:rFonts w:asciiTheme="minorEastAsia" w:hAnsiTheme="minorEastAsia" w:eastAsiaTheme="minorEastAsia"/>
          <w:snapToGrid w:val="0"/>
          <w:szCs w:val="21"/>
        </w:rPr>
        <w:t>）：</w:t>
      </w:r>
      <w:r>
        <w:rPr>
          <w:rFonts w:asciiTheme="minorEastAsia" w:hAnsiTheme="minorEastAsia" w:eastAsiaTheme="minorEastAsia"/>
          <w:snapToGrid w:val="0"/>
          <w:szCs w:val="21"/>
          <w:u w:val="single"/>
        </w:rPr>
        <w:t></w:t>
      </w:r>
      <w:r>
        <w:rPr>
          <w:rFonts w:hint="eastAsia" w:asciiTheme="minorEastAsia" w:hAnsiTheme="minorEastAsia" w:eastAsiaTheme="minorEastAsia"/>
          <w:snapToGrid w:val="0"/>
          <w:szCs w:val="21"/>
          <w:u w:val="single"/>
        </w:rPr>
        <w:t xml:space="preserve">  </w:t>
      </w:r>
      <w:r>
        <w:rPr>
          <w:rFonts w:asciiTheme="minorEastAsia" w:hAnsiTheme="minorEastAsia" w:eastAsiaTheme="minorEastAsia"/>
          <w:snapToGrid w:val="0"/>
          <w:szCs w:val="21"/>
        </w:rPr>
        <w:t></w:t>
      </w:r>
    </w:p>
    <w:p>
      <w:pPr>
        <w:spacing w:line="360" w:lineRule="auto"/>
        <w:ind w:firstLine="420" w:firstLineChars="200"/>
        <w:rPr>
          <w:rFonts w:asciiTheme="minorEastAsia" w:hAnsiTheme="minorEastAsia" w:eastAsiaTheme="minorEastAsia"/>
          <w:snapToGrid w:val="0"/>
          <w:szCs w:val="21"/>
        </w:rPr>
      </w:pPr>
      <w:r>
        <w:rPr>
          <w:rFonts w:asciiTheme="minorEastAsia" w:hAnsiTheme="minorEastAsia" w:eastAsiaTheme="minorEastAsia"/>
          <w:snapToGrid w:val="0"/>
          <w:szCs w:val="21"/>
        </w:rPr>
        <w:t>甲乙双方根据</w:t>
      </w:r>
      <w:r>
        <w:rPr>
          <w:rFonts w:hint="eastAsia" w:asciiTheme="minorEastAsia" w:hAnsiTheme="minorEastAsia" w:eastAsiaTheme="minorEastAsia"/>
          <w:snapToGrid w:val="0"/>
          <w:szCs w:val="21"/>
        </w:rPr>
        <w:t xml:space="preserve">    </w:t>
      </w:r>
      <w:r>
        <w:rPr>
          <w:rFonts w:asciiTheme="minorEastAsia" w:hAnsiTheme="minorEastAsia" w:eastAsiaTheme="minorEastAsia"/>
          <w:snapToGrid w:val="0"/>
          <w:szCs w:val="21"/>
        </w:rPr>
        <w:t>年</w:t>
      </w:r>
      <w:r>
        <w:rPr>
          <w:rFonts w:hint="eastAsia" w:asciiTheme="minorEastAsia" w:hAnsiTheme="minorEastAsia" w:eastAsiaTheme="minorEastAsia"/>
          <w:snapToGrid w:val="0"/>
          <w:szCs w:val="21"/>
        </w:rPr>
        <w:t xml:space="preserve">  </w:t>
      </w:r>
      <w:r>
        <w:rPr>
          <w:rFonts w:asciiTheme="minorEastAsia" w:hAnsiTheme="minorEastAsia" w:eastAsiaTheme="minorEastAsia"/>
          <w:snapToGrid w:val="0"/>
          <w:szCs w:val="21"/>
        </w:rPr>
        <w:t>月</w:t>
      </w:r>
      <w:r>
        <w:rPr>
          <w:rFonts w:hint="eastAsia" w:asciiTheme="minorEastAsia" w:hAnsiTheme="minorEastAsia" w:eastAsiaTheme="minorEastAsia"/>
          <w:snapToGrid w:val="0"/>
          <w:szCs w:val="21"/>
        </w:rPr>
        <w:t xml:space="preserve">  </w:t>
      </w:r>
      <w:r>
        <w:rPr>
          <w:rFonts w:asciiTheme="minorEastAsia" w:hAnsiTheme="minorEastAsia" w:eastAsiaTheme="minorEastAsia"/>
          <w:snapToGrid w:val="0"/>
          <w:szCs w:val="21"/>
        </w:rPr>
        <w:t>日</w:t>
      </w:r>
      <w:r>
        <w:rPr>
          <w:rFonts w:hint="eastAsia" w:asciiTheme="minorEastAsia" w:hAnsiTheme="minorEastAsia" w:eastAsiaTheme="minorEastAsia"/>
          <w:snapToGrid w:val="0"/>
          <w:szCs w:val="21"/>
        </w:rPr>
        <w:t>江苏开放大学空调机组维修及阀门更换项目投标</w:t>
      </w:r>
      <w:r>
        <w:rPr>
          <w:rFonts w:asciiTheme="minorEastAsia" w:hAnsiTheme="minorEastAsia" w:eastAsiaTheme="minorEastAsia"/>
          <w:snapToGrid w:val="0"/>
          <w:color w:val="000000"/>
          <w:szCs w:val="21"/>
        </w:rPr>
        <w:t>结果</w:t>
      </w:r>
      <w:r>
        <w:rPr>
          <w:rFonts w:asciiTheme="minorEastAsia" w:hAnsiTheme="minorEastAsia" w:eastAsiaTheme="minorEastAsia"/>
          <w:snapToGrid w:val="0"/>
          <w:szCs w:val="21"/>
        </w:rPr>
        <w:t>及相关投标文件，经协商一致，订立本合同，供双方共同遵守：</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1、设备及价款</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1.1设备清单</w:t>
      </w:r>
    </w:p>
    <w:tbl>
      <w:tblPr>
        <w:tblStyle w:val="35"/>
        <w:tblW w:w="8966" w:type="dxa"/>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474"/>
        <w:gridCol w:w="1701"/>
        <w:gridCol w:w="1095"/>
        <w:gridCol w:w="545"/>
        <w:gridCol w:w="543"/>
        <w:gridCol w:w="849"/>
        <w:gridCol w:w="849"/>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553" w:type="dxa"/>
            <w:shd w:val="clear" w:color="000000" w:fill="C0C0C0"/>
            <w:vAlign w:val="center"/>
          </w:tcPr>
          <w:p>
            <w:pPr>
              <w:widowControl/>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序号</w:t>
            </w:r>
          </w:p>
        </w:tc>
        <w:tc>
          <w:tcPr>
            <w:tcW w:w="1474" w:type="dxa"/>
            <w:shd w:val="clear" w:color="000000" w:fill="C0C0C0"/>
            <w:vAlign w:val="center"/>
          </w:tcPr>
          <w:p>
            <w:pPr>
              <w:widowControl/>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产品名称</w:t>
            </w:r>
          </w:p>
        </w:tc>
        <w:tc>
          <w:tcPr>
            <w:tcW w:w="1701" w:type="dxa"/>
            <w:shd w:val="clear" w:color="000000" w:fill="C0C0C0"/>
            <w:vAlign w:val="center"/>
          </w:tcPr>
          <w:p>
            <w:pPr>
              <w:widowControl/>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规格型号</w:t>
            </w:r>
          </w:p>
        </w:tc>
        <w:tc>
          <w:tcPr>
            <w:tcW w:w="1095" w:type="dxa"/>
            <w:shd w:val="clear" w:color="000000" w:fill="C0C0C0"/>
            <w:vAlign w:val="center"/>
          </w:tcPr>
          <w:p>
            <w:pPr>
              <w:widowControl/>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品牌</w:t>
            </w:r>
          </w:p>
        </w:tc>
        <w:tc>
          <w:tcPr>
            <w:tcW w:w="545" w:type="dxa"/>
            <w:shd w:val="clear" w:color="000000" w:fill="C0C0C0"/>
            <w:vAlign w:val="center"/>
          </w:tcPr>
          <w:p>
            <w:pPr>
              <w:widowControl/>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数量</w:t>
            </w:r>
          </w:p>
        </w:tc>
        <w:tc>
          <w:tcPr>
            <w:tcW w:w="543" w:type="dxa"/>
            <w:shd w:val="clear" w:color="000000" w:fill="C0C0C0"/>
            <w:vAlign w:val="center"/>
          </w:tcPr>
          <w:p>
            <w:pPr>
              <w:widowControl/>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单位</w:t>
            </w:r>
          </w:p>
        </w:tc>
        <w:tc>
          <w:tcPr>
            <w:tcW w:w="849" w:type="dxa"/>
            <w:shd w:val="clear" w:color="000000" w:fill="C0C0C0"/>
            <w:vAlign w:val="center"/>
          </w:tcPr>
          <w:p>
            <w:pPr>
              <w:widowControl/>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单价（元）</w:t>
            </w:r>
          </w:p>
        </w:tc>
        <w:tc>
          <w:tcPr>
            <w:tcW w:w="849" w:type="dxa"/>
            <w:shd w:val="clear" w:color="000000" w:fill="C0C0C0"/>
            <w:vAlign w:val="center"/>
          </w:tcPr>
          <w:p>
            <w:pPr>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总价（元）</w:t>
            </w:r>
          </w:p>
        </w:tc>
        <w:tc>
          <w:tcPr>
            <w:tcW w:w="1357" w:type="dxa"/>
            <w:shd w:val="clear" w:color="000000" w:fill="C0C0C0"/>
            <w:vAlign w:val="center"/>
          </w:tcPr>
          <w:p>
            <w:pPr>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553" w:type="dxa"/>
            <w:shd w:val="clear" w:color="auto" w:fill="auto"/>
            <w:noWrap/>
            <w:vAlign w:val="center"/>
          </w:tcPr>
          <w:p>
            <w:pPr>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w:t>
            </w:r>
          </w:p>
        </w:tc>
        <w:tc>
          <w:tcPr>
            <w:tcW w:w="1474" w:type="dxa"/>
            <w:shd w:val="clear" w:color="auto" w:fill="auto"/>
            <w:vAlign w:val="center"/>
          </w:tcPr>
          <w:p>
            <w:pPr>
              <w:spacing w:line="360" w:lineRule="auto"/>
              <w:jc w:val="left"/>
              <w:rPr>
                <w:rFonts w:asciiTheme="minorEastAsia" w:hAnsiTheme="minorEastAsia" w:eastAsiaTheme="minorEastAsia"/>
                <w:snapToGrid w:val="0"/>
                <w:szCs w:val="21"/>
              </w:rPr>
            </w:pPr>
          </w:p>
        </w:tc>
        <w:tc>
          <w:tcPr>
            <w:tcW w:w="1701" w:type="dxa"/>
            <w:shd w:val="clear" w:color="auto" w:fill="auto"/>
            <w:vAlign w:val="center"/>
          </w:tcPr>
          <w:p>
            <w:pPr>
              <w:spacing w:line="360" w:lineRule="auto"/>
              <w:rPr>
                <w:rFonts w:asciiTheme="minorEastAsia" w:hAnsiTheme="minorEastAsia" w:eastAsiaTheme="minorEastAsia"/>
                <w:snapToGrid w:val="0"/>
                <w:szCs w:val="21"/>
              </w:rPr>
            </w:pPr>
          </w:p>
        </w:tc>
        <w:tc>
          <w:tcPr>
            <w:tcW w:w="1095" w:type="dxa"/>
            <w:shd w:val="clear" w:color="auto" w:fill="auto"/>
            <w:vAlign w:val="center"/>
          </w:tcPr>
          <w:p>
            <w:pPr>
              <w:spacing w:line="360" w:lineRule="auto"/>
              <w:rPr>
                <w:rFonts w:asciiTheme="minorEastAsia" w:hAnsiTheme="minorEastAsia" w:eastAsiaTheme="minorEastAsia"/>
                <w:snapToGrid w:val="0"/>
                <w:szCs w:val="21"/>
              </w:rPr>
            </w:pPr>
          </w:p>
        </w:tc>
        <w:tc>
          <w:tcPr>
            <w:tcW w:w="545" w:type="dxa"/>
            <w:shd w:val="clear" w:color="auto" w:fill="auto"/>
            <w:vAlign w:val="center"/>
          </w:tcPr>
          <w:p>
            <w:pPr>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w:t>
            </w:r>
          </w:p>
        </w:tc>
        <w:tc>
          <w:tcPr>
            <w:tcW w:w="543" w:type="dxa"/>
            <w:shd w:val="clear" w:color="auto" w:fill="auto"/>
            <w:vAlign w:val="center"/>
          </w:tcPr>
          <w:p>
            <w:pPr>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项</w:t>
            </w:r>
          </w:p>
        </w:tc>
        <w:tc>
          <w:tcPr>
            <w:tcW w:w="849" w:type="dxa"/>
            <w:shd w:val="clear" w:color="auto" w:fill="auto"/>
            <w:noWrap/>
            <w:vAlign w:val="center"/>
          </w:tcPr>
          <w:p>
            <w:pPr>
              <w:widowControl/>
              <w:spacing w:line="360" w:lineRule="auto"/>
              <w:rPr>
                <w:rFonts w:asciiTheme="minorEastAsia" w:hAnsiTheme="minorEastAsia" w:eastAsiaTheme="minorEastAsia"/>
                <w:snapToGrid w:val="0"/>
                <w:szCs w:val="21"/>
              </w:rPr>
            </w:pPr>
          </w:p>
        </w:tc>
        <w:tc>
          <w:tcPr>
            <w:tcW w:w="849" w:type="dxa"/>
            <w:shd w:val="clear" w:color="auto" w:fill="auto"/>
            <w:vAlign w:val="center"/>
          </w:tcPr>
          <w:p>
            <w:pPr>
              <w:widowControl/>
              <w:spacing w:line="360" w:lineRule="auto"/>
              <w:rPr>
                <w:rFonts w:asciiTheme="minorEastAsia" w:hAnsiTheme="minorEastAsia" w:eastAsiaTheme="minorEastAsia"/>
                <w:snapToGrid w:val="0"/>
                <w:szCs w:val="21"/>
              </w:rPr>
            </w:pPr>
          </w:p>
        </w:tc>
        <w:tc>
          <w:tcPr>
            <w:tcW w:w="1357" w:type="dxa"/>
            <w:shd w:val="clear" w:color="auto" w:fill="auto"/>
            <w:vAlign w:val="center"/>
          </w:tcPr>
          <w:p>
            <w:pPr>
              <w:widowControl/>
              <w:spacing w:line="360" w:lineRule="auto"/>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详见投标报价清单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553" w:type="dxa"/>
            <w:shd w:val="clear" w:color="auto" w:fill="auto"/>
            <w:noWrap/>
            <w:vAlign w:val="center"/>
          </w:tcPr>
          <w:p>
            <w:pPr>
              <w:spacing w:line="360" w:lineRule="auto"/>
              <w:rPr>
                <w:rFonts w:asciiTheme="minorEastAsia" w:hAnsiTheme="minorEastAsia" w:eastAsiaTheme="minorEastAsia"/>
                <w:color w:val="000000"/>
                <w:szCs w:val="21"/>
              </w:rPr>
            </w:pPr>
          </w:p>
        </w:tc>
        <w:tc>
          <w:tcPr>
            <w:tcW w:w="8413" w:type="dxa"/>
            <w:gridSpan w:val="8"/>
            <w:shd w:val="clear" w:color="auto" w:fill="auto"/>
            <w:vAlign w:val="center"/>
          </w:tcPr>
          <w:p>
            <w:pPr>
              <w:spacing w:line="360" w:lineRule="auto"/>
              <w:rPr>
                <w:rFonts w:asciiTheme="minorEastAsia" w:hAnsiTheme="minorEastAsia" w:eastAsiaTheme="minorEastAsia"/>
                <w:color w:val="000000"/>
                <w:szCs w:val="21"/>
              </w:rPr>
            </w:pPr>
            <w:r>
              <w:rPr>
                <w:rFonts w:hint="eastAsia" w:asciiTheme="minorEastAsia" w:hAnsiTheme="minorEastAsia" w:eastAsiaTheme="minorEastAsia"/>
                <w:snapToGrid w:val="0"/>
                <w:szCs w:val="21"/>
              </w:rPr>
              <w:t>合计</w:t>
            </w:r>
            <w:r>
              <w:rPr>
                <w:rFonts w:hint="eastAsia" w:asciiTheme="minorEastAsia" w:hAnsiTheme="minorEastAsia" w:eastAsiaTheme="minorEastAsia"/>
                <w:color w:val="000000"/>
                <w:szCs w:val="21"/>
              </w:rPr>
              <w:t>：</w:t>
            </w:r>
          </w:p>
        </w:tc>
      </w:tr>
    </w:tbl>
    <w:p>
      <w:pPr>
        <w:spacing w:line="360" w:lineRule="auto"/>
        <w:ind w:firstLine="210" w:firstLineChars="100"/>
        <w:rPr>
          <w:rFonts w:asciiTheme="minorEastAsia" w:hAnsiTheme="minorEastAsia" w:eastAsiaTheme="minorEastAsia"/>
          <w:snapToGrid w:val="0"/>
          <w:szCs w:val="21"/>
        </w:rPr>
      </w:pPr>
      <w:r>
        <w:rPr>
          <w:rFonts w:hint="eastAsia" w:cs="宋体" w:asciiTheme="minorEastAsia" w:hAnsiTheme="minorEastAsia" w:eastAsiaTheme="minorEastAsia"/>
          <w:bCs/>
          <w:kern w:val="0"/>
          <w:szCs w:val="21"/>
        </w:rPr>
        <w:t>注：乙方已对本维修改造项目进行现场实际勘察，且已知悉全部维修改造内容。以上报价可以完成本次招标所有维修改造，功能达到招标人使用要求，不需另外增加费用。</w:t>
      </w:r>
    </w:p>
    <w:p>
      <w:pPr>
        <w:spacing w:line="360" w:lineRule="auto"/>
        <w:ind w:firstLine="420" w:firstLineChars="200"/>
        <w:rPr>
          <w:rFonts w:asciiTheme="minorEastAsia" w:hAnsiTheme="minorEastAsia" w:eastAsiaTheme="minorEastAsia"/>
          <w:snapToGrid w:val="0"/>
          <w:szCs w:val="21"/>
          <w:u w:val="single"/>
        </w:rPr>
      </w:pPr>
      <w:r>
        <w:rPr>
          <w:rFonts w:hint="eastAsia" w:asciiTheme="minorEastAsia" w:hAnsiTheme="minorEastAsia" w:eastAsiaTheme="minorEastAsia"/>
          <w:snapToGrid w:val="0"/>
          <w:szCs w:val="21"/>
        </w:rPr>
        <w:t>1.2</w:t>
      </w:r>
      <w:r>
        <w:rPr>
          <w:rFonts w:hint="eastAsia" w:cs="宋体" w:asciiTheme="minorEastAsia" w:hAnsiTheme="minorEastAsia" w:eastAsiaTheme="minorEastAsia"/>
          <w:bCs/>
          <w:kern w:val="0"/>
          <w:szCs w:val="21"/>
        </w:rPr>
        <w:t>合同总价为含税价。</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1.3设备配置（详见招标文件）</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2、付款方式</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采购合同签订后，</w:t>
      </w:r>
      <w:r>
        <w:rPr>
          <w:rFonts w:hint="eastAsia" w:asciiTheme="minorEastAsia" w:hAnsiTheme="minorEastAsia" w:eastAsiaTheme="minorEastAsia"/>
          <w:bCs/>
          <w:snapToGrid w:val="0"/>
          <w:szCs w:val="21"/>
        </w:rPr>
        <w:t>乙方</w:t>
      </w:r>
      <w:r>
        <w:rPr>
          <w:rFonts w:hint="eastAsia" w:asciiTheme="minorEastAsia" w:hAnsiTheme="minorEastAsia" w:eastAsiaTheme="minorEastAsia"/>
          <w:snapToGrid w:val="0"/>
          <w:szCs w:val="21"/>
        </w:rPr>
        <w:t>完成本次维修改造相关部件采购、更换、调试，交付甲方使用，经验收合格，支付至合同价的95%；余款于项目</w:t>
      </w:r>
      <w:r>
        <w:rPr>
          <w:rFonts w:hint="eastAsia" w:asciiTheme="minorEastAsia" w:hAnsiTheme="minorEastAsia" w:eastAsiaTheme="minorEastAsia"/>
          <w:snapToGrid w:val="0"/>
          <w:szCs w:val="21"/>
          <w:lang w:eastAsia="zh-CN"/>
        </w:rPr>
        <w:t>保修期满（</w:t>
      </w:r>
      <w:r>
        <w:rPr>
          <w:rFonts w:hint="eastAsia" w:asciiTheme="minorEastAsia" w:hAnsiTheme="minorEastAsia" w:eastAsiaTheme="minorEastAsia"/>
          <w:snapToGrid w:val="0"/>
          <w:szCs w:val="21"/>
        </w:rPr>
        <w:t>验收合格之日起</w:t>
      </w:r>
      <w:r>
        <w:rPr>
          <w:rFonts w:hint="eastAsia" w:asciiTheme="minorEastAsia" w:hAnsiTheme="minorEastAsia" w:eastAsiaTheme="minorEastAsia"/>
          <w:snapToGrid w:val="0"/>
          <w:szCs w:val="21"/>
          <w:lang w:eastAsia="zh-CN"/>
        </w:rPr>
        <w:t>两</w:t>
      </w:r>
      <w:r>
        <w:rPr>
          <w:rFonts w:hint="eastAsia" w:asciiTheme="minorEastAsia" w:hAnsiTheme="minorEastAsia" w:eastAsiaTheme="minorEastAsia"/>
          <w:snapToGrid w:val="0"/>
          <w:szCs w:val="21"/>
        </w:rPr>
        <w:t>年</w:t>
      </w:r>
      <w:r>
        <w:rPr>
          <w:rFonts w:hint="eastAsia" w:asciiTheme="minorEastAsia" w:hAnsiTheme="minorEastAsia" w:eastAsiaTheme="minorEastAsia"/>
          <w:snapToGrid w:val="0"/>
          <w:szCs w:val="21"/>
          <w:lang w:eastAsia="zh-CN"/>
        </w:rPr>
        <w:t>）</w:t>
      </w:r>
      <w:r>
        <w:rPr>
          <w:rFonts w:hint="eastAsia" w:asciiTheme="minorEastAsia" w:hAnsiTheme="minorEastAsia" w:eastAsiaTheme="minorEastAsia"/>
          <w:snapToGrid w:val="0"/>
          <w:szCs w:val="21"/>
        </w:rPr>
        <w:t>后一次性全部付清。</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3、交货时间、地点</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3.1交货时间：</w:t>
      </w:r>
      <w:r>
        <w:rPr>
          <w:rFonts w:hint="eastAsia" w:asciiTheme="minorEastAsia" w:hAnsiTheme="minorEastAsia" w:eastAsiaTheme="minorEastAsia"/>
          <w:bCs/>
          <w:snapToGrid w:val="0"/>
          <w:szCs w:val="21"/>
        </w:rPr>
        <w:t>乙方</w:t>
      </w:r>
      <w:r>
        <w:rPr>
          <w:rFonts w:hint="eastAsia" w:asciiTheme="minorEastAsia" w:hAnsiTheme="minorEastAsia" w:eastAsiaTheme="minorEastAsia"/>
          <w:snapToGrid w:val="0"/>
          <w:szCs w:val="21"/>
        </w:rPr>
        <w:t>须在</w:t>
      </w:r>
      <w:r>
        <w:rPr>
          <w:rFonts w:hint="eastAsia" w:asciiTheme="minorEastAsia" w:hAnsiTheme="minorEastAsia" w:eastAsiaTheme="minorEastAsia"/>
          <w:snapToGrid w:val="0"/>
          <w:szCs w:val="21"/>
          <w:u w:val="single"/>
        </w:rPr>
        <w:t>2019</w:t>
      </w:r>
      <w:r>
        <w:rPr>
          <w:rFonts w:hint="eastAsia" w:asciiTheme="minorEastAsia" w:hAnsiTheme="minorEastAsia" w:eastAsiaTheme="minorEastAsia"/>
          <w:snapToGrid w:val="0"/>
          <w:szCs w:val="21"/>
        </w:rPr>
        <w:t>年   月   日前完成招标内容，交付甲方使用。</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3.2交货地点：江苏开放大学定淮门校区。</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4、设备包装：按生产厂家原包装。</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5、质量标准：应完全符合国家相关的技术要求。</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6、质保条款：质保期为</w:t>
      </w:r>
      <w:r>
        <w:rPr>
          <w:rFonts w:hint="eastAsia" w:asciiTheme="minorEastAsia" w:hAnsiTheme="minorEastAsia" w:eastAsiaTheme="minorEastAsia"/>
          <w:snapToGrid w:val="0"/>
          <w:szCs w:val="21"/>
          <w:u w:val="single"/>
          <w:lang w:eastAsia="zh-CN"/>
        </w:rPr>
        <w:t>两</w:t>
      </w:r>
      <w:r>
        <w:rPr>
          <w:rFonts w:hint="eastAsia" w:asciiTheme="minorEastAsia" w:hAnsiTheme="minorEastAsia" w:eastAsiaTheme="minorEastAsia"/>
          <w:snapToGrid w:val="0"/>
          <w:szCs w:val="21"/>
        </w:rPr>
        <w:t>年，自验收合格之日起算。</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质保期内，非因</w:t>
      </w:r>
      <w:r>
        <w:rPr>
          <w:rFonts w:hint="eastAsia" w:asciiTheme="minorEastAsia" w:hAnsiTheme="minorEastAsia" w:eastAsiaTheme="minorEastAsia"/>
          <w:bCs/>
          <w:snapToGrid w:val="0"/>
          <w:szCs w:val="21"/>
        </w:rPr>
        <w:t>甲方</w:t>
      </w:r>
      <w:r>
        <w:rPr>
          <w:rFonts w:hint="eastAsia" w:asciiTheme="minorEastAsia" w:hAnsiTheme="minorEastAsia" w:eastAsiaTheme="minorEastAsia"/>
          <w:snapToGrid w:val="0"/>
          <w:szCs w:val="21"/>
        </w:rPr>
        <w:t>人为造成设备质量问题的，卖方应实行“包修、包换、包退”；人为原因造成设备损坏的，</w:t>
      </w:r>
      <w:r>
        <w:rPr>
          <w:rFonts w:hint="eastAsia" w:asciiTheme="minorEastAsia" w:hAnsiTheme="minorEastAsia" w:eastAsiaTheme="minorEastAsia"/>
          <w:bCs/>
          <w:snapToGrid w:val="0"/>
          <w:szCs w:val="21"/>
        </w:rPr>
        <w:t>乙方</w:t>
      </w:r>
      <w:r>
        <w:rPr>
          <w:rFonts w:hint="eastAsia" w:asciiTheme="minorEastAsia" w:hAnsiTheme="minorEastAsia" w:eastAsiaTheme="minorEastAsia"/>
          <w:snapToGrid w:val="0"/>
          <w:szCs w:val="21"/>
        </w:rPr>
        <w:t>也应提供维修保养服务,但只收取备件成本费。</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本条所称包修是指: 设备在正常使用的过程中，发生质量问题，</w:t>
      </w:r>
      <w:r>
        <w:rPr>
          <w:rFonts w:hint="eastAsia" w:asciiTheme="minorEastAsia" w:hAnsiTheme="minorEastAsia" w:eastAsiaTheme="minorEastAsia"/>
          <w:bCs/>
          <w:snapToGrid w:val="0"/>
          <w:szCs w:val="21"/>
        </w:rPr>
        <w:t>乙方</w:t>
      </w:r>
      <w:r>
        <w:rPr>
          <w:rFonts w:hint="eastAsia" w:asciiTheme="minorEastAsia" w:hAnsiTheme="minorEastAsia" w:eastAsiaTheme="minorEastAsia"/>
          <w:snapToGrid w:val="0"/>
          <w:szCs w:val="21"/>
        </w:rPr>
        <w:t>在不影响设备正常使用性能和美观的前提下,给予的免费维修。</w:t>
      </w:r>
      <w:r>
        <w:rPr>
          <w:rFonts w:hint="eastAsia" w:asciiTheme="minorEastAsia" w:hAnsiTheme="minorEastAsia" w:eastAsiaTheme="minorEastAsia"/>
          <w:bCs/>
          <w:snapToGrid w:val="0"/>
          <w:szCs w:val="21"/>
        </w:rPr>
        <w:t>乙方</w:t>
      </w:r>
      <w:r>
        <w:rPr>
          <w:rFonts w:hint="eastAsia" w:asciiTheme="minorEastAsia" w:hAnsiTheme="minorEastAsia" w:eastAsiaTheme="minorEastAsia"/>
          <w:snapToGrid w:val="0"/>
          <w:szCs w:val="21"/>
        </w:rPr>
        <w:t>应在接到</w:t>
      </w:r>
      <w:r>
        <w:rPr>
          <w:rFonts w:hint="eastAsia" w:asciiTheme="minorEastAsia" w:hAnsiTheme="minorEastAsia" w:eastAsiaTheme="minorEastAsia"/>
          <w:bCs/>
          <w:snapToGrid w:val="0"/>
          <w:szCs w:val="21"/>
        </w:rPr>
        <w:t>甲方</w:t>
      </w:r>
      <w:r>
        <w:rPr>
          <w:rFonts w:hint="eastAsia" w:asciiTheme="minorEastAsia" w:hAnsiTheme="minorEastAsia" w:eastAsiaTheme="minorEastAsia"/>
          <w:snapToGrid w:val="0"/>
          <w:szCs w:val="21"/>
        </w:rPr>
        <w:t>报修通知后的24小时内提供维修服务。</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本条所称包换是指：经两次维修后仍不能正常使用的，</w:t>
      </w:r>
      <w:r>
        <w:rPr>
          <w:rFonts w:hint="eastAsia" w:asciiTheme="minorEastAsia" w:hAnsiTheme="minorEastAsia" w:eastAsiaTheme="minorEastAsia"/>
          <w:bCs/>
          <w:snapToGrid w:val="0"/>
          <w:szCs w:val="21"/>
        </w:rPr>
        <w:t>乙方</w:t>
      </w:r>
      <w:r>
        <w:rPr>
          <w:rFonts w:hint="eastAsia" w:asciiTheme="minorEastAsia" w:hAnsiTheme="minorEastAsia" w:eastAsiaTheme="minorEastAsia"/>
          <w:snapToGrid w:val="0"/>
          <w:szCs w:val="21"/>
        </w:rPr>
        <w:t>给予更换相同的产品。</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本条所称包退是指: 设备非因</w:t>
      </w:r>
      <w:r>
        <w:rPr>
          <w:rFonts w:hint="eastAsia" w:asciiTheme="minorEastAsia" w:hAnsiTheme="minorEastAsia" w:eastAsiaTheme="minorEastAsia"/>
          <w:bCs/>
          <w:snapToGrid w:val="0"/>
          <w:szCs w:val="21"/>
        </w:rPr>
        <w:t>甲方</w:t>
      </w:r>
      <w:r>
        <w:rPr>
          <w:rFonts w:hint="eastAsia" w:asciiTheme="minorEastAsia" w:hAnsiTheme="minorEastAsia" w:eastAsiaTheme="minorEastAsia"/>
          <w:snapToGrid w:val="0"/>
          <w:szCs w:val="21"/>
        </w:rPr>
        <w:t>人为原因产生质量问题的,经维修后仍不能正常使用或影响美观，且</w:t>
      </w:r>
      <w:r>
        <w:rPr>
          <w:rFonts w:hint="eastAsia" w:asciiTheme="minorEastAsia" w:hAnsiTheme="minorEastAsia" w:eastAsiaTheme="minorEastAsia"/>
          <w:bCs/>
          <w:snapToGrid w:val="0"/>
          <w:szCs w:val="21"/>
        </w:rPr>
        <w:t>乙方</w:t>
      </w:r>
      <w:r>
        <w:rPr>
          <w:rFonts w:hint="eastAsia" w:asciiTheme="minorEastAsia" w:hAnsiTheme="minorEastAsia" w:eastAsiaTheme="minorEastAsia"/>
          <w:snapToGrid w:val="0"/>
          <w:szCs w:val="21"/>
        </w:rPr>
        <w:t>在一个月内无法调换相同的产品的,</w:t>
      </w:r>
      <w:r>
        <w:rPr>
          <w:rFonts w:hint="eastAsia" w:asciiTheme="minorEastAsia" w:hAnsiTheme="minorEastAsia" w:eastAsiaTheme="minorEastAsia"/>
          <w:bCs/>
          <w:snapToGrid w:val="0"/>
          <w:szCs w:val="21"/>
        </w:rPr>
        <w:t>乙方</w:t>
      </w:r>
      <w:r>
        <w:rPr>
          <w:rFonts w:hint="eastAsia" w:asciiTheme="minorEastAsia" w:hAnsiTheme="minorEastAsia" w:eastAsiaTheme="minorEastAsia"/>
          <w:snapToGrid w:val="0"/>
          <w:szCs w:val="21"/>
        </w:rPr>
        <w:t>应予退货并办理相关退货手续，并在七个工作日内结清退货款。</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7、设备的安装</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乙方负责本合同项下的安装调试，费用由乙方承担。</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8、设备的验收</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8.1设备的验收：甲乙双方对设备出厂的预验收和安装调试后的终验收。</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8.2甲方应在设备安装完成后</w:t>
      </w:r>
      <w:r>
        <w:rPr>
          <w:rFonts w:hint="eastAsia" w:asciiTheme="minorEastAsia" w:hAnsiTheme="minorEastAsia" w:eastAsiaTheme="minorEastAsia"/>
          <w:snapToGrid w:val="0"/>
          <w:szCs w:val="21"/>
          <w:u w:val="single"/>
        </w:rPr>
        <w:t xml:space="preserve">  3  </w:t>
      </w:r>
      <w:r>
        <w:rPr>
          <w:rFonts w:hint="eastAsia" w:asciiTheme="minorEastAsia" w:hAnsiTheme="minorEastAsia" w:eastAsiaTheme="minorEastAsia"/>
          <w:snapToGrid w:val="0"/>
          <w:szCs w:val="21"/>
        </w:rPr>
        <w:t>日内开始验收，验收应在甲乙双方共同参加下进行，若甲方对验收结果有异议应立即向乙方以书面形式提出。</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8.3如果合同设备在安装调试过程中因甲方原因造成设备损坏，发生的一切费用由甲方承担，且甲方仍应按时向乙方支付相应的货款。</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8.4如果合同设备运输和安装调试过程中因乙方原因造成设备短缺、损坏，一切费用由乙方承担。</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9、不可抗力</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不可抗力指战争、严重火灾、洪水、台风、地震或其他双方认定的不可抗力事件，并导致双方的任何一方无法履行合同时，遇不可抗力之一方应</w:t>
      </w:r>
      <w:r>
        <w:rPr>
          <w:rFonts w:hint="eastAsia" w:asciiTheme="minorEastAsia" w:hAnsiTheme="minorEastAsia" w:eastAsiaTheme="minorEastAsia"/>
          <w:snapToGrid w:val="0"/>
          <w:szCs w:val="21"/>
          <w:u w:val="single"/>
        </w:rPr>
        <w:t>3</w:t>
      </w:r>
      <w:r>
        <w:rPr>
          <w:rFonts w:hint="eastAsia" w:asciiTheme="minorEastAsia" w:hAnsiTheme="minorEastAsia" w:eastAsiaTheme="minorEastAsia"/>
          <w:snapToGrid w:val="0"/>
          <w:szCs w:val="21"/>
        </w:rPr>
        <w:t>个日历日内将事故情况书面告知另一方，并应在</w:t>
      </w:r>
      <w:r>
        <w:rPr>
          <w:rFonts w:hint="eastAsia" w:asciiTheme="minorEastAsia" w:hAnsiTheme="minorEastAsia" w:eastAsiaTheme="minorEastAsia"/>
          <w:snapToGrid w:val="0"/>
          <w:szCs w:val="21"/>
          <w:u w:val="single"/>
        </w:rPr>
        <w:t xml:space="preserve"> 1 </w:t>
      </w:r>
      <w:r>
        <w:rPr>
          <w:rFonts w:hint="eastAsia" w:asciiTheme="minorEastAsia" w:hAnsiTheme="minorEastAsia" w:eastAsiaTheme="minorEastAsia"/>
          <w:snapToGrid w:val="0"/>
          <w:szCs w:val="21"/>
        </w:rPr>
        <w:t>周内提供事故详情及合同不能履行或者需要延期履行的书面资料。甲乙双方可以协商终止合同或暂时延迟合同的履行，互不承担责任。</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10、合同终止</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如果一方违反本合同条款，并在收到对方违约通知书后在30天内仍未能改正的，另一方可以立即终止本合同，违约方应向守约方支付违约</w:t>
      </w:r>
      <w:r>
        <w:rPr>
          <w:rFonts w:hint="eastAsia" w:asciiTheme="minorEastAsia" w:hAnsiTheme="minorEastAsia" w:eastAsiaTheme="minorEastAsia"/>
          <w:snapToGrid w:val="0"/>
          <w:color w:val="000000"/>
          <w:szCs w:val="21"/>
        </w:rPr>
        <w:t>金3</w:t>
      </w:r>
      <w:r>
        <w:rPr>
          <w:rFonts w:hint="eastAsia" w:asciiTheme="minorEastAsia" w:hAnsiTheme="minorEastAsia" w:eastAsiaTheme="minorEastAsia"/>
          <w:snapToGrid w:val="0"/>
          <w:szCs w:val="21"/>
        </w:rPr>
        <w:t>万元。</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11、违约责任</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11.1、如发生逾期交货，每逾期一日，乙方应按照合同总价的</w:t>
      </w:r>
      <w:r>
        <w:rPr>
          <w:rFonts w:hint="eastAsia" w:asciiTheme="minorEastAsia" w:hAnsiTheme="minorEastAsia" w:eastAsiaTheme="minorEastAsia"/>
          <w:snapToGrid w:val="0"/>
          <w:szCs w:val="21"/>
          <w:u w:val="single"/>
        </w:rPr>
        <w:t xml:space="preserve">1 </w:t>
      </w:r>
      <w:r>
        <w:rPr>
          <w:rFonts w:hint="eastAsia" w:asciiTheme="minorEastAsia" w:hAnsiTheme="minorEastAsia" w:eastAsiaTheme="minorEastAsia"/>
          <w:snapToGrid w:val="0"/>
          <w:szCs w:val="21"/>
        </w:rPr>
        <w:t>%向甲方支付违约金。</w:t>
      </w:r>
    </w:p>
    <w:p>
      <w:pPr>
        <w:spacing w:line="360" w:lineRule="auto"/>
        <w:ind w:firstLine="420" w:firstLineChars="200"/>
        <w:rPr>
          <w:rFonts w:asciiTheme="minorEastAsia" w:hAnsiTheme="minorEastAsia" w:eastAsiaTheme="minorEastAsia"/>
          <w:snapToGrid w:val="0"/>
          <w:szCs w:val="21"/>
          <w:u w:val="single"/>
        </w:rPr>
      </w:pPr>
      <w:r>
        <w:rPr>
          <w:rFonts w:hint="eastAsia" w:asciiTheme="minorEastAsia" w:hAnsiTheme="minorEastAsia" w:eastAsiaTheme="minorEastAsia"/>
          <w:snapToGrid w:val="0"/>
          <w:szCs w:val="21"/>
        </w:rPr>
        <w:t>11.2、卖方有其他违反合同约定或招投标文件行为的，应向买方支付违约金5万元；</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11.3、设备若未能顺利通过验收，买方有权拒付剩余款项并按本条第二款约定追究卖方违约责任。</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12、争议的解决</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签约双方在履约中发生争执和分歧，双方应通过友好协商解决，若协商未果，则将争议交由甲方所在地人民法院审理。</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13、其他</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13.1甲方承诺不向第三方泄露有关设备的配置及价格等商业秘密。</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13.2本合同一式六份，双方各持3份，具有同等法律效力，合同自签字盖章之日起生效。</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13.3本合同未尽事宜，由双方协商处理，所达成的补充协议与本合同具有同等法律效力。</w:t>
      </w:r>
    </w:p>
    <w:p>
      <w:pPr>
        <w:spacing w:line="360" w:lineRule="auto"/>
        <w:ind w:firstLine="420" w:firstLineChars="200"/>
        <w:rPr>
          <w:rFonts w:asciiTheme="minorEastAsia" w:hAnsiTheme="minorEastAsia" w:eastAsiaTheme="minorEastAsia"/>
          <w:snapToGrid w:val="0"/>
          <w:szCs w:val="21"/>
        </w:rPr>
      </w:pPr>
      <w:r>
        <w:rPr>
          <w:rFonts w:hint="eastAsia" w:asciiTheme="minorEastAsia" w:hAnsiTheme="minorEastAsia" w:eastAsiaTheme="minorEastAsia"/>
          <w:snapToGrid w:val="0"/>
          <w:szCs w:val="21"/>
        </w:rPr>
        <w:t>13.4此次招投标文件是合同的有机组成部分，是有补充、解释或修改本合同的作用，对合同双方有约束力。</w:t>
      </w:r>
    </w:p>
    <w:p>
      <w:pPr>
        <w:spacing w:line="360" w:lineRule="auto"/>
        <w:ind w:firstLine="420" w:firstLineChars="200"/>
        <w:rPr>
          <w:rFonts w:asciiTheme="minorEastAsia" w:hAnsiTheme="minorEastAsia" w:eastAsiaTheme="minorEastAsia"/>
          <w:snapToGrid w:val="0"/>
          <w:szCs w:val="21"/>
        </w:rPr>
      </w:pPr>
    </w:p>
    <w:p>
      <w:pPr>
        <w:spacing w:line="360" w:lineRule="auto"/>
        <w:ind w:firstLine="420" w:firstLineChars="200"/>
        <w:rPr>
          <w:rFonts w:asciiTheme="minorEastAsia" w:hAnsiTheme="minorEastAsia" w:eastAsiaTheme="minorEastAsia"/>
          <w:snapToGrid w:val="0"/>
          <w:szCs w:val="21"/>
        </w:rPr>
      </w:pPr>
      <w:r>
        <w:rPr>
          <w:rFonts w:asciiTheme="minorEastAsia" w:hAnsiTheme="minorEastAsia" w:eastAsiaTheme="minorEastAsia"/>
          <w:snapToGrid w:val="0"/>
          <w:szCs w:val="21"/>
        </w:rPr>
        <w:t>　　甲方：</w:t>
      </w:r>
      <w:r>
        <w:rPr>
          <w:rFonts w:hint="eastAsia" w:asciiTheme="minorEastAsia" w:hAnsiTheme="minorEastAsia" w:eastAsiaTheme="minorEastAsia"/>
          <w:snapToGrid w:val="0"/>
          <w:szCs w:val="21"/>
        </w:rPr>
        <w:t xml:space="preserve">                            </w:t>
      </w:r>
      <w:r>
        <w:rPr>
          <w:rFonts w:asciiTheme="minorEastAsia" w:hAnsiTheme="minorEastAsia" w:eastAsiaTheme="minorEastAsia"/>
          <w:snapToGrid w:val="0"/>
          <w:szCs w:val="21"/>
        </w:rPr>
        <w:t>乙方：</w:t>
      </w:r>
    </w:p>
    <w:p>
      <w:pPr>
        <w:spacing w:line="360" w:lineRule="auto"/>
        <w:ind w:firstLine="420" w:firstLineChars="200"/>
        <w:rPr>
          <w:rFonts w:asciiTheme="minorEastAsia" w:hAnsiTheme="minorEastAsia" w:eastAsiaTheme="minorEastAsia"/>
          <w:snapToGrid w:val="0"/>
          <w:szCs w:val="21"/>
        </w:rPr>
      </w:pPr>
      <w:r>
        <w:rPr>
          <w:rFonts w:asciiTheme="minorEastAsia" w:hAnsiTheme="minorEastAsia" w:eastAsiaTheme="minorEastAsia"/>
          <w:snapToGrid w:val="0"/>
          <w:szCs w:val="21"/>
        </w:rPr>
        <w:t>　　法定代表人：法定代表人：</w:t>
      </w:r>
    </w:p>
    <w:p>
      <w:pPr>
        <w:spacing w:line="360" w:lineRule="auto"/>
        <w:ind w:firstLine="420" w:firstLineChars="200"/>
        <w:rPr>
          <w:rFonts w:asciiTheme="minorEastAsia" w:hAnsiTheme="minorEastAsia" w:eastAsiaTheme="minorEastAsia"/>
          <w:snapToGrid w:val="0"/>
          <w:szCs w:val="21"/>
        </w:rPr>
      </w:pPr>
      <w:r>
        <w:rPr>
          <w:rFonts w:asciiTheme="minorEastAsia" w:hAnsiTheme="minorEastAsia" w:eastAsiaTheme="minorEastAsia"/>
          <w:snapToGrid w:val="0"/>
          <w:szCs w:val="21"/>
        </w:rPr>
        <w:t>　　委托代理人：委托代理人：</w:t>
      </w:r>
    </w:p>
    <w:p>
      <w:pPr>
        <w:spacing w:line="360" w:lineRule="auto"/>
        <w:ind w:firstLine="420" w:firstLineChars="200"/>
        <w:rPr>
          <w:rFonts w:asciiTheme="minorEastAsia" w:hAnsiTheme="minorEastAsia" w:eastAsiaTheme="minorEastAsia"/>
          <w:snapToGrid w:val="0"/>
          <w:szCs w:val="21"/>
        </w:rPr>
      </w:pPr>
      <w:r>
        <w:rPr>
          <w:rFonts w:asciiTheme="minorEastAsia" w:hAnsiTheme="minorEastAsia" w:eastAsiaTheme="minorEastAsia"/>
          <w:snapToGrid w:val="0"/>
          <w:szCs w:val="21"/>
        </w:rPr>
        <w:t>　　电话：电话：</w:t>
      </w:r>
    </w:p>
    <w:p>
      <w:pPr>
        <w:spacing w:line="360" w:lineRule="auto"/>
        <w:ind w:firstLine="420" w:firstLineChars="200"/>
        <w:rPr>
          <w:rFonts w:asciiTheme="minorEastAsia" w:hAnsiTheme="minorEastAsia" w:eastAsiaTheme="minorEastAsia"/>
          <w:snapToGrid w:val="0"/>
          <w:szCs w:val="21"/>
        </w:rPr>
      </w:pPr>
      <w:r>
        <w:rPr>
          <w:rFonts w:asciiTheme="minorEastAsia" w:hAnsiTheme="minorEastAsia" w:eastAsiaTheme="minorEastAsia"/>
          <w:snapToGrid w:val="0"/>
          <w:szCs w:val="21"/>
        </w:rPr>
        <w:t>　　签约地址：签约地址：</w:t>
      </w:r>
    </w:p>
    <w:p>
      <w:pPr>
        <w:spacing w:line="360" w:lineRule="auto"/>
        <w:ind w:firstLine="840" w:firstLineChars="400"/>
        <w:rPr>
          <w:rFonts w:asciiTheme="minorEastAsia" w:hAnsiTheme="minorEastAsia" w:eastAsiaTheme="minorEastAsia"/>
          <w:snapToGrid w:val="0"/>
          <w:szCs w:val="21"/>
        </w:rPr>
      </w:pPr>
      <w:r>
        <w:rPr>
          <w:rFonts w:asciiTheme="minorEastAsia" w:hAnsiTheme="minorEastAsia" w:eastAsiaTheme="minorEastAsia"/>
          <w:snapToGrid w:val="0"/>
          <w:szCs w:val="21"/>
        </w:rPr>
        <w:t>签约时间：年月日</w:t>
      </w:r>
      <w:r>
        <w:rPr>
          <w:rFonts w:hint="eastAsia" w:asciiTheme="minorEastAsia" w:hAnsiTheme="minorEastAsia" w:eastAsiaTheme="minorEastAsia"/>
          <w:snapToGrid w:val="0"/>
          <w:szCs w:val="21"/>
        </w:rPr>
        <w:t xml:space="preserve">          </w:t>
      </w:r>
      <w:r>
        <w:rPr>
          <w:rFonts w:asciiTheme="minorEastAsia" w:hAnsiTheme="minorEastAsia" w:eastAsiaTheme="minorEastAsia"/>
          <w:snapToGrid w:val="0"/>
          <w:szCs w:val="21"/>
        </w:rPr>
        <w:t>签约时间：年月日</w:t>
      </w:r>
    </w:p>
    <w:p>
      <w:pPr>
        <w:pStyle w:val="16"/>
        <w:adjustRightInd w:val="0"/>
        <w:snapToGrid w:val="0"/>
        <w:spacing w:line="360" w:lineRule="auto"/>
        <w:jc w:val="left"/>
        <w:rPr>
          <w:rFonts w:asciiTheme="minorEastAsia" w:hAnsiTheme="minorEastAsia" w:eastAsiaTheme="minorEastAsia"/>
          <w:snapToGrid w:val="0"/>
          <w:color w:val="000000"/>
          <w:szCs w:val="21"/>
        </w:rPr>
      </w:pPr>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34"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34"/>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7"/>
        </w:numPr>
        <w:jc w:val="center"/>
        <w:rPr>
          <w:rFonts w:hAnsi="宋体"/>
          <w:sz w:val="36"/>
          <w:szCs w:val="36"/>
        </w:rPr>
      </w:pPr>
      <w:bookmarkStart w:id="35"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rPr>
        <w:t xml:space="preserve"> </w:t>
      </w:r>
      <w:r>
        <w:rPr>
          <w:rFonts w:hint="eastAsia" w:ascii="宋体" w:hAnsi="宋体"/>
          <w:szCs w:val="21"/>
          <w:u w:val="single"/>
        </w:rPr>
        <w:t xml:space="preserve">              </w:t>
      </w:r>
    </w:p>
    <w:p>
      <w:pPr>
        <w:spacing w:line="520" w:lineRule="exact"/>
        <w:ind w:firstLine="3570" w:firstLineChars="1700"/>
        <w:rPr>
          <w:rFonts w:ascii="宋体" w:hAnsi="宋体"/>
          <w:szCs w:val="21"/>
          <w:u w:val="single"/>
        </w:rPr>
      </w:pPr>
    </w:p>
    <w:p>
      <w:pPr>
        <w:jc w:val="center"/>
        <w:rPr>
          <w:rFonts w:ascii="宋体" w:hAnsi="宋体"/>
          <w:b/>
          <w:sz w:val="32"/>
          <w:szCs w:val="32"/>
        </w:rPr>
      </w:pPr>
    </w:p>
    <w:p>
      <w:pPr>
        <w:jc w:val="center"/>
        <w:rPr>
          <w:rFonts w:ascii="宋体" w:hAnsi="宋体"/>
          <w:b/>
          <w:sz w:val="32"/>
          <w:szCs w:val="32"/>
        </w:rPr>
      </w:pPr>
      <w:r>
        <w:rPr>
          <w:rFonts w:hint="eastAsia" w:ascii="宋体" w:hAnsi="宋体"/>
          <w:b/>
          <w:sz w:val="32"/>
          <w:szCs w:val="32"/>
        </w:rPr>
        <w:t>资格性和符合性检查响应对照及评分索引表</w:t>
      </w:r>
    </w:p>
    <w:p>
      <w:pPr>
        <w:ind w:firstLine="309"/>
        <w:rPr>
          <w:rFonts w:ascii="宋体" w:hAnsi="宋体"/>
          <w:sz w:val="24"/>
        </w:rPr>
      </w:pPr>
      <w:r>
        <w:rPr>
          <w:rFonts w:hint="eastAsia" w:ascii="宋体" w:hAnsi="宋体"/>
          <w:sz w:val="24"/>
        </w:rPr>
        <w:t>投标人全称（加盖公章）：</w:t>
      </w: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nil"/>
              <w:left w:val="single" w:color="000000" w:sz="4" w:space="0"/>
              <w:bottom w:val="nil"/>
              <w:right w:val="single" w:color="000000" w:sz="4" w:space="0"/>
            </w:tcBorders>
            <w:vAlign w:val="center"/>
          </w:tcPr>
          <w:p>
            <w:pPr>
              <w:widowControl/>
              <w:spacing w:line="360" w:lineRule="auto"/>
              <w:jc w:val="center"/>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nil"/>
              <w:right w:val="single" w:color="000000" w:sz="4" w:space="0"/>
            </w:tcBorders>
            <w:vAlign w:val="center"/>
          </w:tcPr>
          <w:p>
            <w:pPr>
              <w:widowControl/>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nil"/>
              <w:left w:val="single" w:color="000000" w:sz="4" w:space="0"/>
              <w:bottom w:val="single" w:color="000000" w:sz="4" w:space="0"/>
              <w:right w:val="single" w:color="000000" w:sz="4" w:space="0"/>
            </w:tcBorders>
            <w:vAlign w:val="center"/>
          </w:tcPr>
          <w:p>
            <w:pPr>
              <w:widowControl/>
              <w:spacing w:line="360" w:lineRule="auto"/>
              <w:jc w:val="left"/>
              <w:rPr>
                <w:rFonts w:ascii="宋体" w:hAnsi="宋体"/>
                <w:b/>
                <w:bCs/>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pPr>
      <w:r>
        <w:rPr>
          <w:rFonts w:ascii="宋体" w:hAnsi="宋体"/>
          <w:b/>
          <w:sz w:val="36"/>
          <w:szCs w:val="36"/>
        </w:rPr>
        <w:t>三、</w:t>
      </w:r>
      <w:bookmarkEnd w:id="35"/>
      <w:bookmarkStart w:id="36" w:name="_Toc157775469"/>
      <w:r>
        <w:rPr>
          <w:rFonts w:ascii="宋体" w:hAnsi="宋体"/>
          <w:b/>
          <w:sz w:val="36"/>
          <w:szCs w:val="36"/>
        </w:rPr>
        <w:t>产品质保及服务承诺书</w:t>
      </w:r>
      <w:bookmarkStart w:id="37" w:name="_Toc417892821"/>
    </w:p>
    <w:p>
      <w:pPr>
        <w:ind w:firstLine="1575" w:firstLineChars="750"/>
        <w:rPr>
          <w:rFonts w:ascii="宋体" w:hAnsi="宋体"/>
          <w:szCs w:val="21"/>
        </w:rPr>
      </w:pPr>
      <w:r>
        <w:rPr>
          <w:rFonts w:ascii="宋体" w:hAnsi="宋体"/>
          <w:szCs w:val="21"/>
        </w:rPr>
        <w:t>（格式由投标人自定、加盖投标人公章）</w:t>
      </w:r>
      <w:bookmarkEnd w:id="37"/>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36"/>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 xml:space="preserve">  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须加盖报价单位公章。</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tabs>
          <w:tab w:val="left" w:pos="5812"/>
        </w:tabs>
        <w:spacing w:line="440" w:lineRule="exact"/>
        <w:ind w:firstLine="5810" w:firstLineChars="2767"/>
        <w:rPr>
          <w:rFonts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ascii="宋体" w:hAnsi="宋体"/>
          <w:szCs w:val="21"/>
        </w:rPr>
      </w:pPr>
    </w:p>
    <w:p>
      <w:pPr>
        <w:tabs>
          <w:tab w:val="left" w:pos="5812"/>
        </w:tabs>
        <w:spacing w:line="440" w:lineRule="exact"/>
        <w:ind w:firstLine="7700" w:firstLineChars="3667"/>
        <w:rPr>
          <w:rFonts w:ascii="宋体" w:hAnsi="宋体"/>
          <w:szCs w:val="21"/>
        </w:rPr>
      </w:pPr>
      <w:r>
        <w:rPr>
          <w:rFonts w:hint="eastAsia" w:ascii="宋体" w:hAnsi="宋体"/>
          <w:szCs w:val="21"/>
        </w:rPr>
        <w:t>年    月    日</w:t>
      </w:r>
    </w:p>
    <w:p>
      <w:pPr>
        <w:tabs>
          <w:tab w:val="left" w:pos="5812"/>
        </w:tabs>
        <w:spacing w:line="440" w:lineRule="exact"/>
        <w:ind w:firstLine="5810" w:firstLineChars="2767"/>
        <w:rPr>
          <w:rFonts w:ascii="宋体" w:hAnsi="宋体"/>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sz w:val="36"/>
          <w:szCs w:val="36"/>
        </w:rPr>
      </w:pPr>
      <w:r>
        <w:rPr>
          <w:rFonts w:hint="eastAsia" w:ascii="宋体" w:hAnsi="宋体"/>
          <w:b/>
          <w:sz w:val="36"/>
          <w:szCs w:val="36"/>
        </w:rPr>
        <w:t>项目清单及分项报价表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2A5D7A03"/>
    <w:multiLevelType w:val="multilevel"/>
    <w:tmpl w:val="2A5D7A03"/>
    <w:lvl w:ilvl="0" w:tentative="0">
      <w:start w:val="1"/>
      <w:numFmt w:val="decimal"/>
      <w:lvlText w:val="%1."/>
      <w:lvlJc w:val="left"/>
      <w:pPr>
        <w:tabs>
          <w:tab w:val="left" w:pos="600"/>
        </w:tabs>
        <w:ind w:left="6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59E80311"/>
    <w:multiLevelType w:val="singleLevel"/>
    <w:tmpl w:val="59E80311"/>
    <w:lvl w:ilvl="0" w:tentative="0">
      <w:start w:val="1"/>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2"/>
  </w:num>
  <w:num w:numId="3">
    <w:abstractNumId w:val="6"/>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88C"/>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D67F5"/>
    <w:rsid w:val="000E074D"/>
    <w:rsid w:val="000E1ED8"/>
    <w:rsid w:val="000E1FAF"/>
    <w:rsid w:val="000E2CC8"/>
    <w:rsid w:val="000E4F85"/>
    <w:rsid w:val="000E5111"/>
    <w:rsid w:val="000E5B63"/>
    <w:rsid w:val="000E6050"/>
    <w:rsid w:val="000E6615"/>
    <w:rsid w:val="000E68DB"/>
    <w:rsid w:val="000E7C9B"/>
    <w:rsid w:val="000E7D70"/>
    <w:rsid w:val="000F0145"/>
    <w:rsid w:val="000F25EA"/>
    <w:rsid w:val="000F26BB"/>
    <w:rsid w:val="000F2A33"/>
    <w:rsid w:val="000F3CE3"/>
    <w:rsid w:val="000F4CBA"/>
    <w:rsid w:val="000F5493"/>
    <w:rsid w:val="000F55E7"/>
    <w:rsid w:val="000F687A"/>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14C"/>
    <w:rsid w:val="0016061C"/>
    <w:rsid w:val="00161D93"/>
    <w:rsid w:val="00161E55"/>
    <w:rsid w:val="0016332D"/>
    <w:rsid w:val="001639B6"/>
    <w:rsid w:val="001655AE"/>
    <w:rsid w:val="00165747"/>
    <w:rsid w:val="001659A9"/>
    <w:rsid w:val="00165DA8"/>
    <w:rsid w:val="00167046"/>
    <w:rsid w:val="001705D9"/>
    <w:rsid w:val="00171686"/>
    <w:rsid w:val="00171AF1"/>
    <w:rsid w:val="00172C9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2B74"/>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3C0D"/>
    <w:rsid w:val="00206A77"/>
    <w:rsid w:val="002101F2"/>
    <w:rsid w:val="00210D3E"/>
    <w:rsid w:val="00211679"/>
    <w:rsid w:val="00213454"/>
    <w:rsid w:val="00213CD6"/>
    <w:rsid w:val="00215617"/>
    <w:rsid w:val="002157FA"/>
    <w:rsid w:val="00220A9C"/>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02BE"/>
    <w:rsid w:val="00241D8E"/>
    <w:rsid w:val="002420A8"/>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56A"/>
    <w:rsid w:val="00277827"/>
    <w:rsid w:val="002819F6"/>
    <w:rsid w:val="00281CFB"/>
    <w:rsid w:val="00282508"/>
    <w:rsid w:val="00282532"/>
    <w:rsid w:val="00283272"/>
    <w:rsid w:val="00285213"/>
    <w:rsid w:val="002852A0"/>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5E3A"/>
    <w:rsid w:val="002F613E"/>
    <w:rsid w:val="002F6399"/>
    <w:rsid w:val="002F66B0"/>
    <w:rsid w:val="002F6EA3"/>
    <w:rsid w:val="002F74DE"/>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7B6"/>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3E3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0"/>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3FCD"/>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5DD2"/>
    <w:rsid w:val="003C6BC3"/>
    <w:rsid w:val="003D1697"/>
    <w:rsid w:val="003D19AE"/>
    <w:rsid w:val="003D1F05"/>
    <w:rsid w:val="003D41DC"/>
    <w:rsid w:val="003D483A"/>
    <w:rsid w:val="003D4EBE"/>
    <w:rsid w:val="003D5415"/>
    <w:rsid w:val="003D6F82"/>
    <w:rsid w:val="003E0263"/>
    <w:rsid w:val="003E0435"/>
    <w:rsid w:val="003E1198"/>
    <w:rsid w:val="003E1255"/>
    <w:rsid w:val="003E15AB"/>
    <w:rsid w:val="003E26E0"/>
    <w:rsid w:val="003E3C39"/>
    <w:rsid w:val="003E3D72"/>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3F706B"/>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3E9"/>
    <w:rsid w:val="004136F5"/>
    <w:rsid w:val="00413F29"/>
    <w:rsid w:val="00414366"/>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26CB"/>
    <w:rsid w:val="0045462A"/>
    <w:rsid w:val="00455C37"/>
    <w:rsid w:val="00455D31"/>
    <w:rsid w:val="004570AC"/>
    <w:rsid w:val="00457BB5"/>
    <w:rsid w:val="00460E71"/>
    <w:rsid w:val="00461A1D"/>
    <w:rsid w:val="00461E8F"/>
    <w:rsid w:val="0046271B"/>
    <w:rsid w:val="00464C95"/>
    <w:rsid w:val="00465048"/>
    <w:rsid w:val="0046526D"/>
    <w:rsid w:val="0047023E"/>
    <w:rsid w:val="00470565"/>
    <w:rsid w:val="00470663"/>
    <w:rsid w:val="00471450"/>
    <w:rsid w:val="004720BB"/>
    <w:rsid w:val="00472C8A"/>
    <w:rsid w:val="00473A0D"/>
    <w:rsid w:val="00474464"/>
    <w:rsid w:val="004748A0"/>
    <w:rsid w:val="00475130"/>
    <w:rsid w:val="00475172"/>
    <w:rsid w:val="00475231"/>
    <w:rsid w:val="00475B41"/>
    <w:rsid w:val="00475D43"/>
    <w:rsid w:val="00475E90"/>
    <w:rsid w:val="004762D4"/>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DFB"/>
    <w:rsid w:val="004A3A2B"/>
    <w:rsid w:val="004A57F1"/>
    <w:rsid w:val="004A620C"/>
    <w:rsid w:val="004A6298"/>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3A3A"/>
    <w:rsid w:val="004E5676"/>
    <w:rsid w:val="004E578C"/>
    <w:rsid w:val="004E5E26"/>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0657F"/>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778"/>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270B"/>
    <w:rsid w:val="005635FF"/>
    <w:rsid w:val="00563D01"/>
    <w:rsid w:val="00564350"/>
    <w:rsid w:val="00565D5E"/>
    <w:rsid w:val="0056626B"/>
    <w:rsid w:val="00566622"/>
    <w:rsid w:val="00566694"/>
    <w:rsid w:val="0056676B"/>
    <w:rsid w:val="00570F37"/>
    <w:rsid w:val="00571463"/>
    <w:rsid w:val="00571EC5"/>
    <w:rsid w:val="0057271F"/>
    <w:rsid w:val="00572759"/>
    <w:rsid w:val="0057305F"/>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4FCC"/>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C7E3B"/>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55A1"/>
    <w:rsid w:val="005E612C"/>
    <w:rsid w:val="005E635A"/>
    <w:rsid w:val="005E6948"/>
    <w:rsid w:val="005E7460"/>
    <w:rsid w:val="005F030D"/>
    <w:rsid w:val="005F034C"/>
    <w:rsid w:val="005F112A"/>
    <w:rsid w:val="005F2C91"/>
    <w:rsid w:val="005F3067"/>
    <w:rsid w:val="005F3DBC"/>
    <w:rsid w:val="005F6377"/>
    <w:rsid w:val="005F6AB2"/>
    <w:rsid w:val="006001FC"/>
    <w:rsid w:val="0060085E"/>
    <w:rsid w:val="00600F68"/>
    <w:rsid w:val="00601200"/>
    <w:rsid w:val="006039BF"/>
    <w:rsid w:val="00605958"/>
    <w:rsid w:val="00605E68"/>
    <w:rsid w:val="0060653D"/>
    <w:rsid w:val="006065C3"/>
    <w:rsid w:val="006065FE"/>
    <w:rsid w:val="0061019A"/>
    <w:rsid w:val="00612AE3"/>
    <w:rsid w:val="0061304F"/>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2A1"/>
    <w:rsid w:val="00637631"/>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88B"/>
    <w:rsid w:val="0066223B"/>
    <w:rsid w:val="00662428"/>
    <w:rsid w:val="00662ADF"/>
    <w:rsid w:val="00662E23"/>
    <w:rsid w:val="00662F73"/>
    <w:rsid w:val="00663E8F"/>
    <w:rsid w:val="00664949"/>
    <w:rsid w:val="00665941"/>
    <w:rsid w:val="00665DA9"/>
    <w:rsid w:val="00666549"/>
    <w:rsid w:val="0066708F"/>
    <w:rsid w:val="006673E9"/>
    <w:rsid w:val="006674C3"/>
    <w:rsid w:val="0066781F"/>
    <w:rsid w:val="0066795A"/>
    <w:rsid w:val="00670934"/>
    <w:rsid w:val="006733C2"/>
    <w:rsid w:val="00673831"/>
    <w:rsid w:val="0067384E"/>
    <w:rsid w:val="00673BB7"/>
    <w:rsid w:val="00673EC6"/>
    <w:rsid w:val="00674501"/>
    <w:rsid w:val="00674EB0"/>
    <w:rsid w:val="00674ECB"/>
    <w:rsid w:val="006756D2"/>
    <w:rsid w:val="006758CC"/>
    <w:rsid w:val="006764FD"/>
    <w:rsid w:val="006769C6"/>
    <w:rsid w:val="006777ED"/>
    <w:rsid w:val="00677F2A"/>
    <w:rsid w:val="006800A4"/>
    <w:rsid w:val="00680E3F"/>
    <w:rsid w:val="006826EA"/>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B82"/>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2D0C"/>
    <w:rsid w:val="006D326B"/>
    <w:rsid w:val="006D4BE5"/>
    <w:rsid w:val="006D5C77"/>
    <w:rsid w:val="006D7B66"/>
    <w:rsid w:val="006D7D52"/>
    <w:rsid w:val="006E0A28"/>
    <w:rsid w:val="006E16AB"/>
    <w:rsid w:val="006E2BFD"/>
    <w:rsid w:val="006E2F68"/>
    <w:rsid w:val="006E42FD"/>
    <w:rsid w:val="006E4C19"/>
    <w:rsid w:val="006E544A"/>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079C3"/>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4C35"/>
    <w:rsid w:val="00725C1E"/>
    <w:rsid w:val="00725D4B"/>
    <w:rsid w:val="00726E76"/>
    <w:rsid w:val="007277CB"/>
    <w:rsid w:val="007301CF"/>
    <w:rsid w:val="007301FC"/>
    <w:rsid w:val="00732BD9"/>
    <w:rsid w:val="00732F36"/>
    <w:rsid w:val="0073392D"/>
    <w:rsid w:val="00733B2A"/>
    <w:rsid w:val="00733EE3"/>
    <w:rsid w:val="00734824"/>
    <w:rsid w:val="00734FB1"/>
    <w:rsid w:val="007350A0"/>
    <w:rsid w:val="007350C4"/>
    <w:rsid w:val="00736333"/>
    <w:rsid w:val="0073642D"/>
    <w:rsid w:val="007379E5"/>
    <w:rsid w:val="007404C2"/>
    <w:rsid w:val="00741325"/>
    <w:rsid w:val="00741AAB"/>
    <w:rsid w:val="00741FC3"/>
    <w:rsid w:val="00742006"/>
    <w:rsid w:val="0074266A"/>
    <w:rsid w:val="00742A0C"/>
    <w:rsid w:val="00742C81"/>
    <w:rsid w:val="00742ED9"/>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64D"/>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2C26"/>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C09"/>
    <w:rsid w:val="00822F50"/>
    <w:rsid w:val="008232FC"/>
    <w:rsid w:val="00823CA1"/>
    <w:rsid w:val="00823F08"/>
    <w:rsid w:val="0082423E"/>
    <w:rsid w:val="0082494C"/>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D7E"/>
    <w:rsid w:val="00881FD4"/>
    <w:rsid w:val="00882CAE"/>
    <w:rsid w:val="00882DB6"/>
    <w:rsid w:val="0088350A"/>
    <w:rsid w:val="0088354C"/>
    <w:rsid w:val="0088454F"/>
    <w:rsid w:val="00885037"/>
    <w:rsid w:val="0088563B"/>
    <w:rsid w:val="0088588C"/>
    <w:rsid w:val="008868C7"/>
    <w:rsid w:val="0088737F"/>
    <w:rsid w:val="008873CA"/>
    <w:rsid w:val="00887CC7"/>
    <w:rsid w:val="00890747"/>
    <w:rsid w:val="00890CDF"/>
    <w:rsid w:val="00891601"/>
    <w:rsid w:val="008917D9"/>
    <w:rsid w:val="008931C5"/>
    <w:rsid w:val="008938A1"/>
    <w:rsid w:val="00894434"/>
    <w:rsid w:val="00894AB4"/>
    <w:rsid w:val="00895933"/>
    <w:rsid w:val="008962BB"/>
    <w:rsid w:val="008A050D"/>
    <w:rsid w:val="008A1BFF"/>
    <w:rsid w:val="008A2303"/>
    <w:rsid w:val="008A25F3"/>
    <w:rsid w:val="008A314C"/>
    <w:rsid w:val="008A3F64"/>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4E32"/>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399F"/>
    <w:rsid w:val="009350D6"/>
    <w:rsid w:val="00935209"/>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22AF"/>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B79"/>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0B3D"/>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3CD1"/>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3274"/>
    <w:rsid w:val="00AA6137"/>
    <w:rsid w:val="00AA72A6"/>
    <w:rsid w:val="00AA7FA9"/>
    <w:rsid w:val="00AB0AF2"/>
    <w:rsid w:val="00AB0BC3"/>
    <w:rsid w:val="00AB15D7"/>
    <w:rsid w:val="00AB185F"/>
    <w:rsid w:val="00AB36D9"/>
    <w:rsid w:val="00AB395C"/>
    <w:rsid w:val="00AB399E"/>
    <w:rsid w:val="00AB39A2"/>
    <w:rsid w:val="00AB3DF9"/>
    <w:rsid w:val="00AB42FE"/>
    <w:rsid w:val="00AB4C9E"/>
    <w:rsid w:val="00AB5C14"/>
    <w:rsid w:val="00AC04CE"/>
    <w:rsid w:val="00AC118D"/>
    <w:rsid w:val="00AC1966"/>
    <w:rsid w:val="00AC263B"/>
    <w:rsid w:val="00AC29D6"/>
    <w:rsid w:val="00AC32B2"/>
    <w:rsid w:val="00AC386D"/>
    <w:rsid w:val="00AC4042"/>
    <w:rsid w:val="00AC48CB"/>
    <w:rsid w:val="00AC49EC"/>
    <w:rsid w:val="00AC4CD8"/>
    <w:rsid w:val="00AC58DE"/>
    <w:rsid w:val="00AC58F4"/>
    <w:rsid w:val="00AC5A41"/>
    <w:rsid w:val="00AC6844"/>
    <w:rsid w:val="00AC6A51"/>
    <w:rsid w:val="00AC7149"/>
    <w:rsid w:val="00AC7B68"/>
    <w:rsid w:val="00AD1B4D"/>
    <w:rsid w:val="00AD1BB6"/>
    <w:rsid w:val="00AD2D21"/>
    <w:rsid w:val="00AD2EF5"/>
    <w:rsid w:val="00AD3D21"/>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E7D0C"/>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B33"/>
    <w:rsid w:val="00B30CA0"/>
    <w:rsid w:val="00B334A4"/>
    <w:rsid w:val="00B339B9"/>
    <w:rsid w:val="00B339FC"/>
    <w:rsid w:val="00B34497"/>
    <w:rsid w:val="00B3453A"/>
    <w:rsid w:val="00B34A3D"/>
    <w:rsid w:val="00B34B6E"/>
    <w:rsid w:val="00B35032"/>
    <w:rsid w:val="00B377EE"/>
    <w:rsid w:val="00B37D6D"/>
    <w:rsid w:val="00B40A83"/>
    <w:rsid w:val="00B4118B"/>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1B"/>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691"/>
    <w:rsid w:val="00BA59B0"/>
    <w:rsid w:val="00BA629F"/>
    <w:rsid w:val="00BA6992"/>
    <w:rsid w:val="00BA6C1C"/>
    <w:rsid w:val="00BA78A3"/>
    <w:rsid w:val="00BB12C9"/>
    <w:rsid w:val="00BB278A"/>
    <w:rsid w:val="00BB2C98"/>
    <w:rsid w:val="00BB3842"/>
    <w:rsid w:val="00BB3B4F"/>
    <w:rsid w:val="00BB62F1"/>
    <w:rsid w:val="00BB6B0A"/>
    <w:rsid w:val="00BB6BFF"/>
    <w:rsid w:val="00BC397A"/>
    <w:rsid w:val="00BC4CAE"/>
    <w:rsid w:val="00BC6073"/>
    <w:rsid w:val="00BC6124"/>
    <w:rsid w:val="00BC616C"/>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5AE3"/>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4C1A"/>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19F"/>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B7BCB"/>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C40"/>
    <w:rsid w:val="00D00F11"/>
    <w:rsid w:val="00D01104"/>
    <w:rsid w:val="00D01BEA"/>
    <w:rsid w:val="00D01F3F"/>
    <w:rsid w:val="00D0242A"/>
    <w:rsid w:val="00D038E7"/>
    <w:rsid w:val="00D043CF"/>
    <w:rsid w:val="00D04A7D"/>
    <w:rsid w:val="00D051AC"/>
    <w:rsid w:val="00D059AA"/>
    <w:rsid w:val="00D05A8F"/>
    <w:rsid w:val="00D060ED"/>
    <w:rsid w:val="00D06665"/>
    <w:rsid w:val="00D066B9"/>
    <w:rsid w:val="00D0739A"/>
    <w:rsid w:val="00D10405"/>
    <w:rsid w:val="00D10479"/>
    <w:rsid w:val="00D10574"/>
    <w:rsid w:val="00D11D8A"/>
    <w:rsid w:val="00D120F3"/>
    <w:rsid w:val="00D142AB"/>
    <w:rsid w:val="00D14895"/>
    <w:rsid w:val="00D15932"/>
    <w:rsid w:val="00D15B06"/>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72A"/>
    <w:rsid w:val="00D75DFA"/>
    <w:rsid w:val="00D77739"/>
    <w:rsid w:val="00D77C2B"/>
    <w:rsid w:val="00D80914"/>
    <w:rsid w:val="00D81234"/>
    <w:rsid w:val="00D81258"/>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1F86"/>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D73CB"/>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44A9"/>
    <w:rsid w:val="00E049F7"/>
    <w:rsid w:val="00E0693D"/>
    <w:rsid w:val="00E077A7"/>
    <w:rsid w:val="00E11B5F"/>
    <w:rsid w:val="00E13082"/>
    <w:rsid w:val="00E1495D"/>
    <w:rsid w:val="00E14E96"/>
    <w:rsid w:val="00E14F26"/>
    <w:rsid w:val="00E15648"/>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54F1"/>
    <w:rsid w:val="00E4789C"/>
    <w:rsid w:val="00E50550"/>
    <w:rsid w:val="00E50EA7"/>
    <w:rsid w:val="00E51506"/>
    <w:rsid w:val="00E51EF8"/>
    <w:rsid w:val="00E52833"/>
    <w:rsid w:val="00E54AF0"/>
    <w:rsid w:val="00E5682B"/>
    <w:rsid w:val="00E573C4"/>
    <w:rsid w:val="00E57EEE"/>
    <w:rsid w:val="00E609F1"/>
    <w:rsid w:val="00E60F03"/>
    <w:rsid w:val="00E613FE"/>
    <w:rsid w:val="00E6222F"/>
    <w:rsid w:val="00E62D1C"/>
    <w:rsid w:val="00E62FE9"/>
    <w:rsid w:val="00E63AF9"/>
    <w:rsid w:val="00E6532B"/>
    <w:rsid w:val="00E65C8C"/>
    <w:rsid w:val="00E67D81"/>
    <w:rsid w:val="00E7028A"/>
    <w:rsid w:val="00E705B7"/>
    <w:rsid w:val="00E714D7"/>
    <w:rsid w:val="00E71FD7"/>
    <w:rsid w:val="00E7217E"/>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3964"/>
    <w:rsid w:val="00E96592"/>
    <w:rsid w:val="00E96ED6"/>
    <w:rsid w:val="00E9791E"/>
    <w:rsid w:val="00E9796F"/>
    <w:rsid w:val="00EA017F"/>
    <w:rsid w:val="00EA1F84"/>
    <w:rsid w:val="00EA2713"/>
    <w:rsid w:val="00EA2A18"/>
    <w:rsid w:val="00EA33A2"/>
    <w:rsid w:val="00EA4819"/>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0E39"/>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469"/>
    <w:rsid w:val="00F13B69"/>
    <w:rsid w:val="00F14C6A"/>
    <w:rsid w:val="00F174CE"/>
    <w:rsid w:val="00F1793C"/>
    <w:rsid w:val="00F23062"/>
    <w:rsid w:val="00F232E1"/>
    <w:rsid w:val="00F23D58"/>
    <w:rsid w:val="00F244DB"/>
    <w:rsid w:val="00F251F7"/>
    <w:rsid w:val="00F2573B"/>
    <w:rsid w:val="00F25961"/>
    <w:rsid w:val="00F2722D"/>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2341"/>
    <w:rsid w:val="00F53C95"/>
    <w:rsid w:val="00F53DF7"/>
    <w:rsid w:val="00F55E68"/>
    <w:rsid w:val="00F57B39"/>
    <w:rsid w:val="00F57B6E"/>
    <w:rsid w:val="00F6029F"/>
    <w:rsid w:val="00F60984"/>
    <w:rsid w:val="00F61032"/>
    <w:rsid w:val="00F6211B"/>
    <w:rsid w:val="00F62275"/>
    <w:rsid w:val="00F629D6"/>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77CCC"/>
    <w:rsid w:val="00F80559"/>
    <w:rsid w:val="00F81991"/>
    <w:rsid w:val="00F81F9A"/>
    <w:rsid w:val="00F8219B"/>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5ED6"/>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49B"/>
    <w:rsid w:val="00FF4896"/>
    <w:rsid w:val="00FF56F8"/>
    <w:rsid w:val="00FF6A05"/>
    <w:rsid w:val="00FF6BBC"/>
    <w:rsid w:val="01234426"/>
    <w:rsid w:val="01D95223"/>
    <w:rsid w:val="02D053CD"/>
    <w:rsid w:val="03BD3559"/>
    <w:rsid w:val="04E478AB"/>
    <w:rsid w:val="05FD31FE"/>
    <w:rsid w:val="07221DCD"/>
    <w:rsid w:val="075A2A7B"/>
    <w:rsid w:val="07FB5644"/>
    <w:rsid w:val="08126282"/>
    <w:rsid w:val="0822758F"/>
    <w:rsid w:val="08313B80"/>
    <w:rsid w:val="083D72E7"/>
    <w:rsid w:val="097F5F89"/>
    <w:rsid w:val="098A0C99"/>
    <w:rsid w:val="0A477811"/>
    <w:rsid w:val="0ABB67CE"/>
    <w:rsid w:val="0CB83490"/>
    <w:rsid w:val="0D057A5C"/>
    <w:rsid w:val="0DF4150B"/>
    <w:rsid w:val="0E9D5567"/>
    <w:rsid w:val="0F5C5F40"/>
    <w:rsid w:val="0FB26250"/>
    <w:rsid w:val="10B173C9"/>
    <w:rsid w:val="11B20C9C"/>
    <w:rsid w:val="12416A8A"/>
    <w:rsid w:val="14B55E2A"/>
    <w:rsid w:val="151A0933"/>
    <w:rsid w:val="16226CEC"/>
    <w:rsid w:val="16B928ED"/>
    <w:rsid w:val="1783171A"/>
    <w:rsid w:val="17997A18"/>
    <w:rsid w:val="18F3458F"/>
    <w:rsid w:val="194A5B2D"/>
    <w:rsid w:val="1BA32A02"/>
    <w:rsid w:val="1BC917BB"/>
    <w:rsid w:val="1CB46956"/>
    <w:rsid w:val="1D4E460D"/>
    <w:rsid w:val="1D9E7C25"/>
    <w:rsid w:val="1DE166EC"/>
    <w:rsid w:val="1E780B21"/>
    <w:rsid w:val="1EA62A71"/>
    <w:rsid w:val="20EA51D1"/>
    <w:rsid w:val="210C3C73"/>
    <w:rsid w:val="220E2ECD"/>
    <w:rsid w:val="23454FED"/>
    <w:rsid w:val="238E1A06"/>
    <w:rsid w:val="23B7553F"/>
    <w:rsid w:val="23F806EA"/>
    <w:rsid w:val="25A42B28"/>
    <w:rsid w:val="267403B3"/>
    <w:rsid w:val="28074863"/>
    <w:rsid w:val="289026C9"/>
    <w:rsid w:val="29205AB8"/>
    <w:rsid w:val="2A310877"/>
    <w:rsid w:val="2BF4376B"/>
    <w:rsid w:val="2C03670A"/>
    <w:rsid w:val="2CAE5761"/>
    <w:rsid w:val="2CED5DE2"/>
    <w:rsid w:val="2D2C6371"/>
    <w:rsid w:val="2E016B8B"/>
    <w:rsid w:val="2E292A27"/>
    <w:rsid w:val="30C67B9E"/>
    <w:rsid w:val="31D05CA5"/>
    <w:rsid w:val="32CF408C"/>
    <w:rsid w:val="33A14D9B"/>
    <w:rsid w:val="33A45DA5"/>
    <w:rsid w:val="33A97BD3"/>
    <w:rsid w:val="34170FAE"/>
    <w:rsid w:val="36C031CE"/>
    <w:rsid w:val="3759692C"/>
    <w:rsid w:val="38086121"/>
    <w:rsid w:val="3A4F2DF7"/>
    <w:rsid w:val="3AD76819"/>
    <w:rsid w:val="3B55051D"/>
    <w:rsid w:val="3C041E8C"/>
    <w:rsid w:val="3C4B6B70"/>
    <w:rsid w:val="3C59742C"/>
    <w:rsid w:val="3CB26D83"/>
    <w:rsid w:val="3D977566"/>
    <w:rsid w:val="3E4167E0"/>
    <w:rsid w:val="3E5D2F50"/>
    <w:rsid w:val="3E861031"/>
    <w:rsid w:val="3F50730D"/>
    <w:rsid w:val="3F732CAD"/>
    <w:rsid w:val="3FF82C7A"/>
    <w:rsid w:val="4030015B"/>
    <w:rsid w:val="403962EE"/>
    <w:rsid w:val="408A5E5D"/>
    <w:rsid w:val="415660D0"/>
    <w:rsid w:val="41F70B48"/>
    <w:rsid w:val="420C01A2"/>
    <w:rsid w:val="429C4E56"/>
    <w:rsid w:val="437301A1"/>
    <w:rsid w:val="44102511"/>
    <w:rsid w:val="443D2336"/>
    <w:rsid w:val="444C5CD1"/>
    <w:rsid w:val="447563C5"/>
    <w:rsid w:val="44CA3B5A"/>
    <w:rsid w:val="45292431"/>
    <w:rsid w:val="457E2A11"/>
    <w:rsid w:val="467455F3"/>
    <w:rsid w:val="46B34489"/>
    <w:rsid w:val="476969BE"/>
    <w:rsid w:val="478B3EE5"/>
    <w:rsid w:val="48935D8C"/>
    <w:rsid w:val="49E66767"/>
    <w:rsid w:val="4A1E02D0"/>
    <w:rsid w:val="4A2F1DAC"/>
    <w:rsid w:val="4BA97879"/>
    <w:rsid w:val="4C7A4EC9"/>
    <w:rsid w:val="4CC5508E"/>
    <w:rsid w:val="4D957BB8"/>
    <w:rsid w:val="4DD827C4"/>
    <w:rsid w:val="4E081BA3"/>
    <w:rsid w:val="4E1F58F6"/>
    <w:rsid w:val="4E2F02A1"/>
    <w:rsid w:val="4F203323"/>
    <w:rsid w:val="500A299E"/>
    <w:rsid w:val="501101D8"/>
    <w:rsid w:val="508D24D4"/>
    <w:rsid w:val="50C1689E"/>
    <w:rsid w:val="50D911DD"/>
    <w:rsid w:val="50DE1AD8"/>
    <w:rsid w:val="50E53737"/>
    <w:rsid w:val="51432C46"/>
    <w:rsid w:val="5254321E"/>
    <w:rsid w:val="528C5CD4"/>
    <w:rsid w:val="54BE1FB9"/>
    <w:rsid w:val="55BA5175"/>
    <w:rsid w:val="560C4F6B"/>
    <w:rsid w:val="567B46F5"/>
    <w:rsid w:val="568D7462"/>
    <w:rsid w:val="5718422D"/>
    <w:rsid w:val="577E7371"/>
    <w:rsid w:val="58127108"/>
    <w:rsid w:val="58206E3F"/>
    <w:rsid w:val="588F08FA"/>
    <w:rsid w:val="589F2CFF"/>
    <w:rsid w:val="592A2799"/>
    <w:rsid w:val="59936F36"/>
    <w:rsid w:val="5AB413F5"/>
    <w:rsid w:val="5B8A089E"/>
    <w:rsid w:val="5BB7508E"/>
    <w:rsid w:val="5D4D4E63"/>
    <w:rsid w:val="5E484261"/>
    <w:rsid w:val="5EA67242"/>
    <w:rsid w:val="5F3F4D92"/>
    <w:rsid w:val="60AE1A84"/>
    <w:rsid w:val="61C845D6"/>
    <w:rsid w:val="61EA20BC"/>
    <w:rsid w:val="62ED1197"/>
    <w:rsid w:val="636A56B3"/>
    <w:rsid w:val="63A32486"/>
    <w:rsid w:val="63D36139"/>
    <w:rsid w:val="64505B48"/>
    <w:rsid w:val="645E2E3D"/>
    <w:rsid w:val="653E60A6"/>
    <w:rsid w:val="67437CEC"/>
    <w:rsid w:val="685873C5"/>
    <w:rsid w:val="693D2D8D"/>
    <w:rsid w:val="6AC552B3"/>
    <w:rsid w:val="6AFC2413"/>
    <w:rsid w:val="6C3A7A22"/>
    <w:rsid w:val="6E8E12EF"/>
    <w:rsid w:val="6F1E24F8"/>
    <w:rsid w:val="6F775AB8"/>
    <w:rsid w:val="71002E30"/>
    <w:rsid w:val="7222003E"/>
    <w:rsid w:val="722E1B2B"/>
    <w:rsid w:val="72674F59"/>
    <w:rsid w:val="746E74A6"/>
    <w:rsid w:val="74AC783C"/>
    <w:rsid w:val="74B53290"/>
    <w:rsid w:val="7681674A"/>
    <w:rsid w:val="774737A1"/>
    <w:rsid w:val="786268D2"/>
    <w:rsid w:val="787228C6"/>
    <w:rsid w:val="78C328A3"/>
    <w:rsid w:val="7AB913E9"/>
    <w:rsid w:val="7B11404E"/>
    <w:rsid w:val="7C1040E8"/>
    <w:rsid w:val="7EA90D0F"/>
    <w:rsid w:val="7EC93B4D"/>
    <w:rsid w:val="7FB0205B"/>
    <w:rsid w:val="7FB55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styleId="8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A1285-D7A7-4D1A-9913-EE61EF45EA21}">
  <ds:schemaRefs/>
</ds:datastoreItem>
</file>

<file path=docProps/app.xml><?xml version="1.0" encoding="utf-8"?>
<Properties xmlns="http://schemas.openxmlformats.org/officeDocument/2006/extended-properties" xmlns:vt="http://schemas.openxmlformats.org/officeDocument/2006/docPropsVTypes">
  <Template>Normal</Template>
  <Pages>23</Pages>
  <Words>1642</Words>
  <Characters>9363</Characters>
  <Lines>78</Lines>
  <Paragraphs>21</Paragraphs>
  <TotalTime>7</TotalTime>
  <ScaleCrop>false</ScaleCrop>
  <LinksUpToDate>false</LinksUpToDate>
  <CharactersWithSpaces>10984</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2019-07-04T02:29:00Z</dcterms:created>
  <dc:creator>淮阴师范学院招标办</dc:creator>
  <cp:lastModifiedBy>cy</cp:lastModifiedBy>
  <cp:lastPrinted>2019-05-05T01:21:00Z</cp:lastPrinted>
  <dcterms:modified xsi:type="dcterms:W3CDTF">2019-07-06T06:15:24Z</dcterms:modified>
  <dc:title>淮阴师范学院招标文件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