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before="0" w:after="0"/>
        <w:ind w:firstLine="0"/>
        <w:rPr>
          <w:rFonts w:ascii="宋体" w:hAnsi="宋体"/>
        </w:rPr>
      </w:pPr>
    </w:p>
    <w:p>
      <w:pPr>
        <w:pStyle w:val="20"/>
        <w:ind w:firstLine="0"/>
        <w:jc w:val="center"/>
        <w:rPr>
          <w:rFonts w:eastAsia="黑体"/>
          <w:b/>
          <w:bCs/>
          <w:sz w:val="84"/>
        </w:rPr>
      </w:pPr>
    </w:p>
    <w:p>
      <w:pPr>
        <w:pStyle w:val="20"/>
        <w:tabs>
          <w:tab w:val="center" w:pos="4476"/>
          <w:tab w:val="right" w:pos="8953"/>
        </w:tabs>
        <w:ind w:firstLine="0"/>
        <w:rPr>
          <w:rFonts w:eastAsia="黑体"/>
          <w:b/>
          <w:bCs/>
          <w:sz w:val="84"/>
        </w:rPr>
      </w:pPr>
      <w:r>
        <w:rPr>
          <w:rFonts w:eastAsia="黑体"/>
          <w:b/>
          <w:bCs/>
          <w:sz w:val="84"/>
        </w:rPr>
        <w:tab/>
      </w:r>
      <w:r>
        <w:rPr>
          <w:rFonts w:hint="eastAsia" w:eastAsia="黑体"/>
          <w:b/>
          <w:bCs/>
          <w:sz w:val="84"/>
        </w:rPr>
        <w:t>招　标　文　件</w:t>
      </w:r>
      <w:r>
        <w:rPr>
          <w:rFonts w:eastAsia="黑体"/>
          <w:b/>
          <w:bCs/>
          <w:sz w:val="84"/>
        </w:rPr>
        <w:tab/>
      </w:r>
    </w:p>
    <w:p>
      <w:pPr>
        <w:pStyle w:val="20"/>
        <w:ind w:firstLine="723" w:firstLineChars="200"/>
        <w:rPr>
          <w:rFonts w:ascii="宋体" w:hAnsi="宋体"/>
          <w:b/>
          <w:bCs/>
          <w:sz w:val="36"/>
          <w:szCs w:val="36"/>
        </w:rPr>
      </w:pPr>
    </w:p>
    <w:p>
      <w:pPr>
        <w:spacing w:line="360" w:lineRule="auto"/>
        <w:ind w:firstLine="1084" w:firstLineChars="300"/>
        <w:jc w:val="left"/>
        <w:rPr>
          <w:rFonts w:ascii="宋体" w:hAnsi="宋体"/>
          <w:b/>
          <w:sz w:val="36"/>
        </w:rPr>
      </w:pPr>
    </w:p>
    <w:p>
      <w:pPr>
        <w:spacing w:line="360" w:lineRule="auto"/>
        <w:ind w:firstLine="1265" w:firstLineChars="350"/>
        <w:jc w:val="left"/>
        <w:rPr>
          <w:rFonts w:ascii="宋体" w:hAnsi="宋体"/>
          <w:b/>
          <w:sz w:val="30"/>
          <w:szCs w:val="30"/>
          <w:u w:val="single"/>
        </w:rPr>
      </w:pPr>
      <w:r>
        <w:rPr>
          <w:rFonts w:hint="eastAsia" w:ascii="宋体" w:hAnsi="宋体"/>
          <w:b/>
          <w:sz w:val="36"/>
        </w:rPr>
        <w:t>项目名称：</w:t>
      </w:r>
      <w:r>
        <w:rPr>
          <w:rFonts w:hint="eastAsia" w:asciiTheme="majorEastAsia" w:hAnsiTheme="majorEastAsia" w:eastAsiaTheme="majorEastAsia"/>
          <w:kern w:val="0"/>
          <w:sz w:val="30"/>
          <w:szCs w:val="30"/>
          <w:u w:val="single"/>
        </w:rPr>
        <w:t xml:space="preserve">学校档案管理系统               </w:t>
      </w:r>
    </w:p>
    <w:p>
      <w:pPr>
        <w:spacing w:line="360" w:lineRule="auto"/>
        <w:ind w:firstLine="1265" w:firstLineChars="350"/>
        <w:jc w:val="left"/>
      </w:pPr>
      <w:r>
        <w:rPr>
          <w:rFonts w:hint="eastAsia" w:ascii="宋体" w:hAnsi="宋体"/>
          <w:b/>
          <w:sz w:val="36"/>
        </w:rPr>
        <w:t>项目编号：</w:t>
      </w:r>
      <w:r>
        <w:rPr>
          <w:sz w:val="32"/>
          <w:szCs w:val="32"/>
          <w:u w:val="single"/>
        </w:rPr>
        <w:t>2017-ZB-XC046</w:t>
      </w:r>
      <w:r>
        <w:rPr>
          <w:rFonts w:hint="eastAsia"/>
          <w:sz w:val="32"/>
          <w:szCs w:val="32"/>
          <w:u w:val="single"/>
        </w:rPr>
        <w:t xml:space="preserve">               </w:t>
      </w:r>
    </w:p>
    <w:p>
      <w:pPr>
        <w:pStyle w:val="20"/>
        <w:spacing w:before="0" w:after="0"/>
        <w:ind w:firstLine="0"/>
        <w:rPr>
          <w:rFonts w:ascii="宋体" w:hAnsi="宋体"/>
        </w:rPr>
      </w:pPr>
    </w:p>
    <w:p>
      <w:pPr>
        <w:pStyle w:val="20"/>
        <w:spacing w:before="0" w:after="0"/>
        <w:ind w:firstLine="0"/>
        <w:rPr>
          <w:rFonts w:ascii="宋体" w:hAnsi="宋体"/>
        </w:rPr>
      </w:pPr>
    </w:p>
    <w:p>
      <w:pPr>
        <w:pStyle w:val="20"/>
        <w:spacing w:before="0" w:after="0"/>
        <w:ind w:firstLine="0"/>
        <w:rPr>
          <w:rFonts w:ascii="宋体" w:hAnsi="宋体"/>
        </w:rPr>
      </w:pPr>
    </w:p>
    <w:p>
      <w:pPr>
        <w:pStyle w:val="20"/>
        <w:spacing w:before="0" w:after="0"/>
        <w:ind w:firstLine="0"/>
        <w:rPr>
          <w:rFonts w:ascii="宋体" w:hAnsi="宋体"/>
        </w:rPr>
      </w:pPr>
    </w:p>
    <w:p>
      <w:pPr>
        <w:pStyle w:val="20"/>
        <w:spacing w:before="0" w:after="0"/>
        <w:ind w:firstLine="0"/>
        <w:rPr>
          <w:rFonts w:ascii="宋体" w:hAnsi="宋体"/>
        </w:rPr>
      </w:pPr>
    </w:p>
    <w:p>
      <w:pPr>
        <w:pStyle w:val="20"/>
        <w:spacing w:before="0" w:after="0"/>
        <w:ind w:firstLine="0"/>
        <w:rPr>
          <w:rFonts w:ascii="宋体" w:hAnsi="宋体"/>
        </w:rPr>
      </w:pPr>
    </w:p>
    <w:p>
      <w:pPr>
        <w:pStyle w:val="20"/>
        <w:spacing w:before="0" w:after="0"/>
        <w:ind w:firstLine="0"/>
        <w:rPr>
          <w:rFonts w:ascii="宋体" w:hAnsi="宋体"/>
        </w:rPr>
      </w:pPr>
    </w:p>
    <w:p>
      <w:pPr>
        <w:pStyle w:val="20"/>
        <w:spacing w:before="0" w:after="0"/>
        <w:ind w:firstLine="0"/>
        <w:rPr>
          <w:rFonts w:ascii="宋体" w:hAnsi="宋体"/>
        </w:rPr>
      </w:pPr>
    </w:p>
    <w:p>
      <w:pPr>
        <w:pStyle w:val="20"/>
        <w:spacing w:before="0" w:after="0"/>
        <w:ind w:firstLine="0"/>
        <w:rPr>
          <w:rFonts w:ascii="宋体" w:hAnsi="宋体"/>
        </w:rPr>
      </w:pPr>
    </w:p>
    <w:p>
      <w:pPr>
        <w:pStyle w:val="20"/>
        <w:spacing w:before="0" w:after="0"/>
        <w:ind w:firstLine="0"/>
        <w:rPr>
          <w:rFonts w:ascii="宋体" w:hAnsi="宋体"/>
        </w:rPr>
      </w:pPr>
    </w:p>
    <w:p>
      <w:pPr>
        <w:pStyle w:val="20"/>
        <w:ind w:firstLine="0"/>
        <w:jc w:val="center"/>
        <w:rPr>
          <w:b/>
          <w:bCs/>
          <w:sz w:val="32"/>
        </w:rPr>
      </w:pPr>
      <w:r>
        <w:rPr>
          <w:rFonts w:hint="eastAsia"/>
          <w:b/>
          <w:bCs/>
          <w:sz w:val="32"/>
        </w:rPr>
        <w:t>江苏开放大学</w:t>
      </w:r>
    </w:p>
    <w:p>
      <w:pPr>
        <w:pStyle w:val="20"/>
        <w:ind w:firstLine="0"/>
        <w:jc w:val="center"/>
        <w:rPr>
          <w:b/>
          <w:bCs/>
          <w:sz w:val="32"/>
        </w:rPr>
      </w:pPr>
    </w:p>
    <w:p>
      <w:pPr>
        <w:pStyle w:val="20"/>
        <w:ind w:firstLine="0"/>
        <w:jc w:val="center"/>
        <w:rPr>
          <w:b/>
          <w:bCs/>
          <w:sz w:val="32"/>
        </w:rPr>
      </w:pPr>
    </w:p>
    <w:p>
      <w:pPr>
        <w:pStyle w:val="20"/>
        <w:ind w:firstLine="0"/>
        <w:jc w:val="center"/>
        <w:rPr>
          <w:b/>
          <w:bCs/>
          <w:sz w:val="32"/>
        </w:rPr>
      </w:pPr>
    </w:p>
    <w:p>
      <w:pPr>
        <w:adjustRightInd w:val="0"/>
        <w:spacing w:line="360" w:lineRule="auto"/>
        <w:ind w:firstLine="562" w:firstLineChars="200"/>
        <w:jc w:val="left"/>
        <w:textAlignment w:val="baseline"/>
        <w:rPr>
          <w:rFonts w:ascii="宋体" w:hAnsi="宋体"/>
          <w:b/>
          <w:kern w:val="0"/>
          <w:sz w:val="28"/>
          <w:szCs w:val="28"/>
        </w:rPr>
      </w:pPr>
      <w:r>
        <w:rPr>
          <w:rFonts w:hint="eastAsia" w:ascii="宋体" w:hAnsi="宋体"/>
          <w:b/>
          <w:kern w:val="0"/>
          <w:sz w:val="28"/>
          <w:szCs w:val="28"/>
        </w:rPr>
        <w:t>特别提示：</w:t>
      </w:r>
    </w:p>
    <w:p>
      <w:pPr>
        <w:adjustRightInd w:val="0"/>
        <w:spacing w:line="360" w:lineRule="auto"/>
        <w:ind w:firstLine="562" w:firstLineChars="200"/>
        <w:jc w:val="left"/>
        <w:textAlignment w:val="baseline"/>
        <w:rPr>
          <w:rFonts w:ascii="宋体" w:hAnsi="宋体"/>
          <w:b/>
          <w:kern w:val="0"/>
          <w:sz w:val="28"/>
          <w:szCs w:val="28"/>
        </w:rPr>
      </w:pPr>
      <w:r>
        <w:rPr>
          <w:rFonts w:hint="eastAsia" w:ascii="宋体" w:hAnsi="宋体"/>
          <w:b/>
          <w:kern w:val="0"/>
          <w:sz w:val="28"/>
          <w:szCs w:val="28"/>
        </w:rPr>
        <w:t>1.请投标人认真阅读招标文件，严格按照招标文件要求制作投标文件，如对招标文件内容和要求有疑问，请电话咨询或书面质疑，以避免投标无效；</w:t>
      </w:r>
    </w:p>
    <w:p>
      <w:pPr>
        <w:adjustRightInd w:val="0"/>
        <w:spacing w:line="360" w:lineRule="auto"/>
        <w:ind w:firstLine="562" w:firstLineChars="200"/>
        <w:jc w:val="left"/>
        <w:textAlignment w:val="baseline"/>
        <w:rPr>
          <w:rFonts w:ascii="宋体" w:hAnsi="宋体"/>
          <w:b/>
          <w:kern w:val="0"/>
          <w:sz w:val="28"/>
          <w:szCs w:val="28"/>
        </w:rPr>
      </w:pPr>
      <w:r>
        <w:rPr>
          <w:rFonts w:hint="eastAsia" w:ascii="宋体" w:hAnsi="宋体"/>
          <w:b/>
          <w:kern w:val="0"/>
          <w:sz w:val="28"/>
          <w:szCs w:val="28"/>
        </w:rPr>
        <w:t>2.招标公告与招标文件不一致的条款以招标文件为准;</w:t>
      </w:r>
    </w:p>
    <w:p>
      <w:pPr>
        <w:adjustRightInd w:val="0"/>
        <w:spacing w:line="360" w:lineRule="auto"/>
        <w:ind w:firstLine="562" w:firstLineChars="200"/>
        <w:jc w:val="left"/>
        <w:textAlignment w:val="baseline"/>
        <w:rPr>
          <w:rFonts w:ascii="宋体" w:hAnsi="宋体"/>
          <w:b/>
          <w:kern w:val="0"/>
          <w:sz w:val="28"/>
          <w:szCs w:val="28"/>
        </w:rPr>
      </w:pPr>
      <w:r>
        <w:rPr>
          <w:rFonts w:hint="eastAsia" w:ascii="宋体" w:hAnsi="宋体"/>
          <w:b/>
          <w:kern w:val="0"/>
          <w:sz w:val="28"/>
          <w:szCs w:val="28"/>
        </w:rPr>
        <w:t>3.如发现招标文件存在影响公正评标的条款、项目，请即向招标联系人质疑、指出。</w:t>
      </w:r>
    </w:p>
    <w:p>
      <w:pPr>
        <w:adjustRightInd w:val="0"/>
        <w:spacing w:line="360" w:lineRule="auto"/>
        <w:ind w:firstLine="562" w:firstLineChars="200"/>
        <w:jc w:val="left"/>
        <w:textAlignment w:val="baseline"/>
        <w:rPr>
          <w:rFonts w:hint="eastAsia" w:ascii="宋体" w:hAnsi="宋体"/>
          <w:b/>
          <w:kern w:val="0"/>
          <w:sz w:val="28"/>
          <w:szCs w:val="28"/>
        </w:rPr>
      </w:pPr>
      <w:r>
        <w:rPr>
          <w:rFonts w:hint="eastAsia" w:ascii="宋体" w:hAnsi="宋体"/>
          <w:b/>
          <w:kern w:val="0"/>
          <w:sz w:val="28"/>
          <w:szCs w:val="28"/>
        </w:rPr>
        <w:t>4.有恶意串标、提供虚假材料、中标后不按要求履约等行为的供应商将被列入学校采购黑名单，三年之内不能参加学校任何招投标活动，情节严重的，将向省采购中心投诉。</w:t>
      </w:r>
    </w:p>
    <w:p>
      <w:pPr>
        <w:adjustRightInd w:val="0"/>
        <w:spacing w:line="360" w:lineRule="auto"/>
        <w:ind w:firstLine="562" w:firstLineChars="200"/>
        <w:jc w:val="left"/>
        <w:textAlignment w:val="baseline"/>
        <w:rPr>
          <w:rFonts w:hint="eastAsia" w:ascii="宋体" w:hAnsi="宋体"/>
          <w:b/>
          <w:kern w:val="0"/>
          <w:sz w:val="28"/>
          <w:szCs w:val="28"/>
        </w:rPr>
      </w:pPr>
    </w:p>
    <w:p>
      <w:pPr>
        <w:snapToGrid w:val="0"/>
        <w:spacing w:line="360" w:lineRule="auto"/>
        <w:ind w:firstLine="482" w:firstLineChars="200"/>
        <w:rPr>
          <w:rFonts w:ascii="宋体" w:hAnsi="宋体"/>
          <w:b/>
          <w:sz w:val="24"/>
        </w:rPr>
      </w:pPr>
      <w:r>
        <w:rPr>
          <w:rFonts w:hint="eastAsia" w:ascii="宋体" w:hAnsi="宋体"/>
          <w:b/>
          <w:sz w:val="24"/>
        </w:rPr>
        <w:t>一、项目基本情况：</w:t>
      </w:r>
    </w:p>
    <w:p>
      <w:pPr>
        <w:snapToGrid w:val="0"/>
        <w:spacing w:line="360" w:lineRule="auto"/>
        <w:ind w:firstLine="480" w:firstLineChars="200"/>
        <w:rPr>
          <w:rFonts w:ascii="宋体" w:hAnsi="宋体"/>
          <w:sz w:val="24"/>
        </w:rPr>
      </w:pPr>
      <w:r>
        <w:rPr>
          <w:rFonts w:hint="eastAsia" w:ascii="宋体" w:hAnsi="宋体"/>
          <w:sz w:val="24"/>
        </w:rPr>
        <w:t>江苏开放大学（江苏城市职业学院）本着“公开、公平、公正 ”的原则，对学校档案系统进行公开招标，欢迎有能力的供应商前来投标。</w:t>
      </w:r>
    </w:p>
    <w:p>
      <w:pPr>
        <w:snapToGrid w:val="0"/>
        <w:spacing w:line="360" w:lineRule="auto"/>
        <w:ind w:firstLine="480" w:firstLineChars="200"/>
        <w:rPr>
          <w:rFonts w:hint="eastAsia" w:ascii="宋体" w:hAnsi="宋体"/>
          <w:sz w:val="24"/>
        </w:rPr>
      </w:pPr>
      <w:r>
        <w:rPr>
          <w:rFonts w:hint="eastAsia" w:ascii="宋体" w:hAnsi="宋体"/>
          <w:sz w:val="24"/>
        </w:rPr>
        <w:t>档案管理系统是档案信息化建设的核心工具，是提升档案管理和服务利用水平的关键。通过档案管理系统，实现档案的采集、编目、存储、数字化、备份、利用以及系统维护的一体化。利用我校统一身份认证系统，合理确定全校师生的阅览权限，实现在线的、移动的、智能的档案信息检索服务。档案管理系统应该具备先进性、实用性、可扩展性、兼容性、安全性、系统性、规范性等特性要求。</w:t>
      </w:r>
    </w:p>
    <w:p>
      <w:pPr>
        <w:snapToGrid w:val="0"/>
        <w:spacing w:line="360" w:lineRule="auto"/>
        <w:ind w:firstLine="480" w:firstLineChars="200"/>
        <w:rPr>
          <w:rFonts w:hint="eastAsia" w:ascii="宋体" w:hAnsi="宋体"/>
          <w:sz w:val="24"/>
        </w:rPr>
      </w:pPr>
      <w:r>
        <w:rPr>
          <w:rFonts w:hint="eastAsia" w:ascii="宋体" w:hAnsi="宋体"/>
          <w:sz w:val="24"/>
        </w:rPr>
        <w:t>项目预算：</w:t>
      </w:r>
      <w:r>
        <w:rPr>
          <w:rFonts w:hint="eastAsia" w:ascii="宋体" w:hAnsi="宋体"/>
          <w:sz w:val="24"/>
          <w:u w:val="single"/>
        </w:rPr>
        <w:t>29万元整（含RFID设备）</w:t>
      </w:r>
      <w:r>
        <w:rPr>
          <w:rFonts w:hint="eastAsia" w:ascii="宋体" w:hAnsi="宋体"/>
          <w:sz w:val="24"/>
        </w:rPr>
        <w:t>。</w:t>
      </w:r>
    </w:p>
    <w:p>
      <w:pPr>
        <w:spacing w:line="360" w:lineRule="auto"/>
        <w:ind w:firstLine="482" w:firstLineChars="200"/>
        <w:rPr>
          <w:b/>
          <w:sz w:val="24"/>
        </w:rPr>
      </w:pPr>
      <w:r>
        <w:rPr>
          <w:rFonts w:hint="eastAsia" w:ascii="宋体" w:hAnsi="宋体"/>
          <w:b/>
          <w:sz w:val="24"/>
          <w:lang w:val="en-US" w:eastAsia="zh-CN"/>
        </w:rPr>
        <w:t>二</w:t>
      </w:r>
      <w:r>
        <w:rPr>
          <w:rFonts w:hint="eastAsia" w:ascii="宋体" w:hAnsi="宋体"/>
          <w:b/>
          <w:sz w:val="24"/>
        </w:rPr>
        <w:t>、</w:t>
      </w:r>
      <w:r>
        <w:rPr>
          <w:rFonts w:hint="eastAsia"/>
          <w:b/>
          <w:sz w:val="24"/>
        </w:rPr>
        <w:t>投标人资质要求：</w:t>
      </w:r>
      <w:bookmarkStart w:id="19" w:name="_GoBack"/>
      <w:bookmarkEnd w:id="19"/>
    </w:p>
    <w:p>
      <w:pPr>
        <w:spacing w:line="360" w:lineRule="auto"/>
        <w:ind w:firstLine="480" w:firstLineChars="200"/>
        <w:rPr>
          <w:sz w:val="24"/>
        </w:rPr>
      </w:pPr>
      <w:r>
        <w:rPr>
          <w:rFonts w:hint="eastAsia"/>
          <w:sz w:val="24"/>
        </w:rPr>
        <w:t>（一）参加本次采购活动应当符合《中华人民共和国政府采购法》第二十二条的规定，并具备下列条件：</w:t>
      </w:r>
    </w:p>
    <w:p>
      <w:pPr>
        <w:spacing w:line="360" w:lineRule="auto"/>
        <w:ind w:firstLine="480" w:firstLineChars="200"/>
        <w:rPr>
          <w:sz w:val="24"/>
        </w:rPr>
      </w:pPr>
      <w:r>
        <w:rPr>
          <w:rFonts w:hint="eastAsia"/>
          <w:sz w:val="24"/>
        </w:rPr>
        <w:t>（1）具有独立承担民事责任的能力（请提供法人或者其他组织的营业执照等证明文件，自然人的身份证明）；</w:t>
      </w:r>
    </w:p>
    <w:p>
      <w:pPr>
        <w:spacing w:line="360" w:lineRule="auto"/>
        <w:ind w:firstLine="480" w:firstLineChars="200"/>
        <w:rPr>
          <w:sz w:val="24"/>
        </w:rPr>
      </w:pPr>
      <w:r>
        <w:rPr>
          <w:rFonts w:hint="eastAsia"/>
          <w:sz w:val="24"/>
        </w:rPr>
        <w:t>（2）具有良好的商业信誉和健全的财务会计制度（请提供上年度财务状况报告）；</w:t>
      </w:r>
    </w:p>
    <w:p>
      <w:pPr>
        <w:spacing w:line="360" w:lineRule="auto"/>
        <w:ind w:firstLine="480" w:firstLineChars="200"/>
        <w:rPr>
          <w:sz w:val="24"/>
        </w:rPr>
      </w:pPr>
      <w:r>
        <w:rPr>
          <w:rFonts w:hint="eastAsia"/>
          <w:sz w:val="24"/>
        </w:rPr>
        <w:t>（3）具有履行合同所必需的设备和专业技术能力（请提供具备履行合同所必需的设备和专业技术能力的证明材料）；</w:t>
      </w:r>
    </w:p>
    <w:p>
      <w:pPr>
        <w:spacing w:line="360" w:lineRule="auto"/>
        <w:ind w:firstLine="480" w:firstLineChars="200"/>
        <w:rPr>
          <w:sz w:val="24"/>
        </w:rPr>
      </w:pPr>
      <w:r>
        <w:rPr>
          <w:rFonts w:hint="eastAsia"/>
          <w:sz w:val="24"/>
        </w:rPr>
        <w:t>（4）有依法缴纳税收和社会保障资金的良好记录（请提供依法缴纳税收和社会保障资金的相关材料)；</w:t>
      </w:r>
    </w:p>
    <w:p>
      <w:pPr>
        <w:spacing w:line="360" w:lineRule="auto"/>
        <w:ind w:firstLine="480" w:firstLineChars="200"/>
        <w:rPr>
          <w:sz w:val="24"/>
        </w:rPr>
      </w:pPr>
      <w:r>
        <w:rPr>
          <w:rFonts w:hint="eastAsia"/>
          <w:sz w:val="24"/>
        </w:rPr>
        <w:t>（5）参加政府采购活动前三年内，在经营活动中没有重大违法记录（请提供参加政府采购活动前3年内在经营活动中没有重大违法记录的书面声明）；</w:t>
      </w:r>
    </w:p>
    <w:p>
      <w:pPr>
        <w:spacing w:line="360" w:lineRule="auto"/>
        <w:ind w:firstLine="480" w:firstLineChars="200"/>
        <w:rPr>
          <w:sz w:val="24"/>
        </w:rPr>
      </w:pPr>
      <w:r>
        <w:rPr>
          <w:rFonts w:hint="eastAsia"/>
          <w:sz w:val="24"/>
        </w:rPr>
        <w:t>（6）法</w:t>
      </w:r>
      <w:r>
        <w:rPr>
          <w:sz w:val="24"/>
        </w:rPr>
        <w:t>律、行政法规规定的其他条件</w:t>
      </w:r>
    </w:p>
    <w:p>
      <w:pPr>
        <w:spacing w:line="360" w:lineRule="auto"/>
        <w:rPr>
          <w:sz w:val="24"/>
        </w:rPr>
      </w:pPr>
      <w:r>
        <w:rPr>
          <w:rFonts w:hint="eastAsia"/>
          <w:sz w:val="24"/>
        </w:rPr>
        <w:t xml:space="preserve">（二）采购人根据采购项目的特殊要求规定的特定条件： </w:t>
      </w:r>
      <w:r>
        <w:rPr>
          <w:rFonts w:hint="eastAsia" w:ascii="宋体" w:hAnsi="宋体" w:cs="宋体"/>
          <w:kern w:val="0"/>
          <w:sz w:val="24"/>
        </w:rPr>
        <w:t>无</w:t>
      </w:r>
    </w:p>
    <w:p>
      <w:pPr>
        <w:spacing w:line="360" w:lineRule="auto"/>
        <w:ind w:firstLine="482" w:firstLineChars="200"/>
        <w:rPr>
          <w:b/>
          <w:sz w:val="24"/>
        </w:rPr>
      </w:pPr>
      <w:r>
        <w:rPr>
          <w:b/>
          <w:sz w:val="24"/>
        </w:rPr>
        <w:t>三、报价及付款条件</w:t>
      </w:r>
    </w:p>
    <w:p>
      <w:pPr>
        <w:spacing w:line="360" w:lineRule="auto"/>
        <w:rPr>
          <w:sz w:val="24"/>
        </w:rPr>
      </w:pPr>
      <w:r>
        <w:rPr>
          <w:rFonts w:hint="eastAsia"/>
          <w:sz w:val="24"/>
        </w:rPr>
        <w:t xml:space="preserve">    </w:t>
      </w:r>
      <w:r>
        <w:rPr>
          <w:sz w:val="24"/>
        </w:rPr>
        <w:t>（一）投标报价为一次性报价方式，包括产品本身价格、安装费、运输费、验收费、技术服务费（包括技术资料、图纸提供等）、伴随服务及因产品本身及供货相关的各种税金等全部费用。</w:t>
      </w:r>
    </w:p>
    <w:p>
      <w:pPr>
        <w:spacing w:line="360" w:lineRule="auto"/>
        <w:rPr>
          <w:sz w:val="24"/>
        </w:rPr>
      </w:pPr>
      <w:r>
        <w:rPr>
          <w:rFonts w:hint="eastAsia"/>
          <w:sz w:val="24"/>
        </w:rPr>
        <w:t xml:space="preserve">    </w:t>
      </w:r>
      <w:r>
        <w:rPr>
          <w:sz w:val="24"/>
        </w:rPr>
        <w:t>（二）学校不提供预付款，所有货物全部到货，且验收合格后付款。</w:t>
      </w:r>
    </w:p>
    <w:p>
      <w:pPr>
        <w:spacing w:line="360" w:lineRule="auto"/>
        <w:rPr>
          <w:sz w:val="24"/>
        </w:rPr>
      </w:pPr>
      <w:r>
        <w:rPr>
          <w:rFonts w:hint="eastAsia"/>
          <w:sz w:val="24"/>
        </w:rPr>
        <w:t xml:space="preserve">    </w:t>
      </w:r>
      <w:r>
        <w:rPr>
          <w:sz w:val="24"/>
        </w:rPr>
        <w:t>（三）报价单位需对上述项目全部报价，最低价不作为中标保证（在密封的文件上注明所投项目）。</w:t>
      </w:r>
    </w:p>
    <w:p>
      <w:pPr>
        <w:numPr>
          <w:ilvl w:val="0"/>
          <w:numId w:val="1"/>
        </w:numPr>
        <w:snapToGrid w:val="0"/>
        <w:spacing w:line="360" w:lineRule="auto"/>
        <w:ind w:firstLine="482" w:firstLineChars="200"/>
        <w:rPr>
          <w:rFonts w:ascii="宋体" w:hAnsi="宋体"/>
          <w:b/>
          <w:sz w:val="24"/>
        </w:rPr>
      </w:pPr>
      <w:r>
        <w:rPr>
          <w:rFonts w:hint="eastAsia" w:ascii="宋体" w:hAnsi="宋体"/>
          <w:b/>
          <w:sz w:val="24"/>
        </w:rPr>
        <w:t>评标方法</w:t>
      </w:r>
    </w:p>
    <w:tbl>
      <w:tblPr>
        <w:tblStyle w:val="14"/>
        <w:tblW w:w="9456" w:type="dxa"/>
        <w:jc w:val="center"/>
        <w:tblInd w:w="0" w:type="dxa"/>
        <w:tblLayout w:type="fixed"/>
        <w:tblCellMar>
          <w:top w:w="0" w:type="dxa"/>
          <w:left w:w="108" w:type="dxa"/>
          <w:bottom w:w="0" w:type="dxa"/>
          <w:right w:w="108" w:type="dxa"/>
        </w:tblCellMar>
      </w:tblPr>
      <w:tblGrid>
        <w:gridCol w:w="1112"/>
        <w:gridCol w:w="904"/>
        <w:gridCol w:w="662"/>
        <w:gridCol w:w="5849"/>
        <w:gridCol w:w="929"/>
      </w:tblGrid>
      <w:tr>
        <w:tblPrEx>
          <w:tblLayout w:type="fixed"/>
          <w:tblCellMar>
            <w:top w:w="0" w:type="dxa"/>
            <w:left w:w="108" w:type="dxa"/>
            <w:bottom w:w="0" w:type="dxa"/>
            <w:right w:w="108" w:type="dxa"/>
          </w:tblCellMar>
        </w:tblPrEx>
        <w:trPr>
          <w:cantSplit/>
          <w:trHeight w:val="454" w:hRule="atLeast"/>
          <w:jc w:val="center"/>
        </w:trPr>
        <w:tc>
          <w:tcPr>
            <w:tcW w:w="2016" w:type="dxa"/>
            <w:gridSpan w:val="2"/>
            <w:tcBorders>
              <w:top w:val="single" w:color="auto" w:sz="12" w:space="0"/>
              <w:left w:val="single" w:color="auto" w:sz="12" w:space="0"/>
              <w:bottom w:val="single" w:color="auto" w:sz="6" w:space="0"/>
              <w:right w:val="single" w:color="auto" w:sz="6" w:space="0"/>
            </w:tcBorders>
            <w:vAlign w:val="center"/>
          </w:tcPr>
          <w:p>
            <w:pPr>
              <w:spacing w:line="300" w:lineRule="exact"/>
              <w:jc w:val="center"/>
              <w:rPr>
                <w:rFonts w:ascii="宋体" w:hAnsi="宋体" w:cs="Arial"/>
              </w:rPr>
            </w:pPr>
            <w:r>
              <w:rPr>
                <w:rFonts w:hint="eastAsia" w:ascii="宋体" w:hAnsi="宋体" w:cs="Arial"/>
              </w:rPr>
              <w:t>评分内容</w:t>
            </w:r>
          </w:p>
        </w:tc>
        <w:tc>
          <w:tcPr>
            <w:tcW w:w="662" w:type="dxa"/>
            <w:tcBorders>
              <w:top w:val="single" w:color="auto" w:sz="12" w:space="0"/>
              <w:left w:val="nil"/>
              <w:bottom w:val="single" w:color="auto" w:sz="6" w:space="0"/>
              <w:right w:val="single" w:color="auto" w:sz="6" w:space="0"/>
            </w:tcBorders>
            <w:vAlign w:val="center"/>
          </w:tcPr>
          <w:p>
            <w:pPr>
              <w:spacing w:line="300" w:lineRule="exact"/>
              <w:jc w:val="center"/>
              <w:rPr>
                <w:rFonts w:ascii="宋体" w:hAnsi="宋体" w:cs="Arial"/>
              </w:rPr>
            </w:pPr>
            <w:r>
              <w:rPr>
                <w:rFonts w:hint="eastAsia" w:ascii="宋体" w:hAnsi="宋体" w:cs="Arial"/>
              </w:rPr>
              <w:t>分值</w:t>
            </w:r>
          </w:p>
        </w:tc>
        <w:tc>
          <w:tcPr>
            <w:tcW w:w="5849" w:type="dxa"/>
            <w:tcBorders>
              <w:top w:val="single" w:color="auto" w:sz="12" w:space="0"/>
              <w:left w:val="nil"/>
              <w:bottom w:val="single" w:color="auto" w:sz="6" w:space="0"/>
              <w:right w:val="single" w:color="auto" w:sz="6" w:space="0"/>
            </w:tcBorders>
            <w:vAlign w:val="center"/>
          </w:tcPr>
          <w:p>
            <w:pPr>
              <w:spacing w:line="300" w:lineRule="exact"/>
              <w:jc w:val="center"/>
              <w:rPr>
                <w:rFonts w:ascii="宋体" w:hAnsi="宋体" w:cs="Arial"/>
              </w:rPr>
            </w:pPr>
            <w:r>
              <w:rPr>
                <w:rFonts w:hint="eastAsia" w:ascii="宋体" w:hAnsi="宋体" w:cs="Arial"/>
              </w:rPr>
              <w:t>评分标准</w:t>
            </w:r>
          </w:p>
        </w:tc>
        <w:tc>
          <w:tcPr>
            <w:tcW w:w="929" w:type="dxa"/>
            <w:tcBorders>
              <w:top w:val="single" w:color="auto" w:sz="12" w:space="0"/>
              <w:left w:val="nil"/>
              <w:bottom w:val="single" w:color="auto" w:sz="6" w:space="0"/>
              <w:right w:val="single" w:color="auto" w:sz="12" w:space="0"/>
            </w:tcBorders>
            <w:vAlign w:val="center"/>
          </w:tcPr>
          <w:p>
            <w:pPr>
              <w:spacing w:line="300" w:lineRule="exact"/>
              <w:jc w:val="center"/>
              <w:rPr>
                <w:rFonts w:ascii="宋体" w:hAnsi="宋体" w:cs="Arial"/>
              </w:rPr>
            </w:pPr>
            <w:r>
              <w:rPr>
                <w:rFonts w:hint="eastAsia" w:ascii="宋体" w:hAnsi="宋体" w:cs="Arial"/>
              </w:rPr>
              <w:t>评分值</w:t>
            </w:r>
          </w:p>
        </w:tc>
      </w:tr>
      <w:tr>
        <w:tblPrEx>
          <w:tblLayout w:type="fixed"/>
          <w:tblCellMar>
            <w:top w:w="0" w:type="dxa"/>
            <w:left w:w="108" w:type="dxa"/>
            <w:bottom w:w="0" w:type="dxa"/>
            <w:right w:w="108" w:type="dxa"/>
          </w:tblCellMar>
        </w:tblPrEx>
        <w:trPr>
          <w:cantSplit/>
          <w:trHeight w:val="774" w:hRule="atLeast"/>
          <w:jc w:val="center"/>
        </w:trPr>
        <w:tc>
          <w:tcPr>
            <w:tcW w:w="1112" w:type="dxa"/>
            <w:tcBorders>
              <w:top w:val="single" w:color="auto" w:sz="6" w:space="0"/>
              <w:left w:val="single" w:color="auto" w:sz="12" w:space="0"/>
              <w:bottom w:val="single" w:color="auto" w:sz="4" w:space="0"/>
              <w:right w:val="single" w:color="auto" w:sz="4" w:space="0"/>
            </w:tcBorders>
            <w:vAlign w:val="center"/>
          </w:tcPr>
          <w:p>
            <w:pPr>
              <w:spacing w:line="300" w:lineRule="exact"/>
              <w:rPr>
                <w:rFonts w:ascii="宋体" w:hAnsi="宋体" w:cs="Arial"/>
              </w:rPr>
            </w:pPr>
            <w:r>
              <w:rPr>
                <w:rFonts w:hint="eastAsia" w:ascii="宋体" w:hAnsi="宋体" w:cs="Arial"/>
              </w:rPr>
              <w:t>价格部分</w:t>
            </w:r>
          </w:p>
          <w:p>
            <w:pPr>
              <w:spacing w:line="300" w:lineRule="exact"/>
              <w:ind w:firstLine="105" w:firstLineChars="50"/>
              <w:rPr>
                <w:rFonts w:ascii="宋体" w:hAnsi="宋体" w:cs="Arial"/>
              </w:rPr>
            </w:pPr>
            <w:r>
              <w:rPr>
                <w:rFonts w:ascii="宋体" w:hAnsi="宋体" w:cs="Arial"/>
              </w:rPr>
              <w:t>3</w:t>
            </w:r>
            <w:r>
              <w:rPr>
                <w:rFonts w:hint="eastAsia" w:ascii="宋体" w:hAnsi="宋体" w:cs="Arial"/>
              </w:rPr>
              <w:t>0分</w:t>
            </w:r>
          </w:p>
        </w:tc>
        <w:tc>
          <w:tcPr>
            <w:tcW w:w="904" w:type="dxa"/>
            <w:tcBorders>
              <w:top w:val="single" w:color="auto" w:sz="6" w:space="0"/>
              <w:left w:val="nil"/>
              <w:bottom w:val="single" w:color="auto" w:sz="4" w:space="0"/>
              <w:right w:val="single" w:color="auto" w:sz="6" w:space="0"/>
            </w:tcBorders>
            <w:vAlign w:val="center"/>
          </w:tcPr>
          <w:p>
            <w:pPr>
              <w:spacing w:line="300" w:lineRule="exact"/>
              <w:rPr>
                <w:rFonts w:ascii="宋体" w:hAnsi="宋体" w:cs="Arial"/>
              </w:rPr>
            </w:pPr>
            <w:r>
              <w:rPr>
                <w:rFonts w:hint="eastAsia" w:ascii="宋体" w:hAnsi="宋体" w:cs="Arial"/>
              </w:rPr>
              <w:t>投标报价</w:t>
            </w:r>
          </w:p>
        </w:tc>
        <w:tc>
          <w:tcPr>
            <w:tcW w:w="662" w:type="dxa"/>
            <w:tcBorders>
              <w:top w:val="single" w:color="auto" w:sz="6" w:space="0"/>
              <w:left w:val="nil"/>
              <w:bottom w:val="single" w:color="auto" w:sz="4" w:space="0"/>
              <w:right w:val="single" w:color="auto" w:sz="6" w:space="0"/>
            </w:tcBorders>
            <w:vAlign w:val="center"/>
          </w:tcPr>
          <w:p>
            <w:pPr>
              <w:spacing w:line="300" w:lineRule="exact"/>
              <w:jc w:val="center"/>
              <w:rPr>
                <w:rFonts w:ascii="宋体" w:hAnsi="宋体" w:cs="Arial"/>
              </w:rPr>
            </w:pPr>
            <w:r>
              <w:rPr>
                <w:rFonts w:ascii="宋体" w:hAnsi="宋体" w:cs="Arial"/>
              </w:rPr>
              <w:t>3</w:t>
            </w:r>
            <w:r>
              <w:rPr>
                <w:rFonts w:hint="eastAsia" w:ascii="宋体" w:hAnsi="宋体" w:cs="Arial"/>
              </w:rPr>
              <w:t>0</w:t>
            </w:r>
          </w:p>
        </w:tc>
        <w:tc>
          <w:tcPr>
            <w:tcW w:w="5849" w:type="dxa"/>
            <w:tcBorders>
              <w:top w:val="single" w:color="auto" w:sz="6" w:space="0"/>
              <w:left w:val="nil"/>
              <w:bottom w:val="single" w:color="auto" w:sz="4" w:space="0"/>
              <w:right w:val="single" w:color="auto" w:sz="6" w:space="0"/>
            </w:tcBorders>
            <w:vAlign w:val="center"/>
          </w:tcPr>
          <w:p>
            <w:pPr>
              <w:pStyle w:val="26"/>
              <w:ind w:firstLine="0" w:firstLineChars="0"/>
              <w:rPr>
                <w:rFonts w:ascii="宋体" w:hAnsi="宋体" w:cs="Arial"/>
                <w:sz w:val="21"/>
                <w:szCs w:val="21"/>
              </w:rPr>
            </w:pPr>
            <w:r>
              <w:rPr>
                <w:rFonts w:hint="eastAsia" w:ascii="宋体" w:hAnsi="宋体" w:cs="Arial"/>
                <w:sz w:val="21"/>
                <w:szCs w:val="21"/>
              </w:rPr>
              <w:t>1、投标基准价：以满足投标文件要求且最低的投标价格为投标基准价：</w:t>
            </w:r>
          </w:p>
          <w:p>
            <w:pPr>
              <w:jc w:val="left"/>
              <w:rPr>
                <w:rFonts w:ascii="宋体" w:cs="Arial"/>
                <w:sz w:val="18"/>
                <w:szCs w:val="18"/>
              </w:rPr>
            </w:pPr>
            <w:r>
              <w:t>2</w:t>
            </w:r>
            <w:r>
              <w:rPr>
                <w:rFonts w:hint="eastAsia"/>
              </w:rPr>
              <w:t>、</w:t>
            </w:r>
            <w:r>
              <w:rPr>
                <w:rFonts w:hint="eastAsia"/>
                <w:kern w:val="0"/>
              </w:rPr>
              <w:t>得分</w:t>
            </w:r>
            <w:r>
              <w:rPr>
                <w:kern w:val="0"/>
              </w:rPr>
              <w:t>=</w:t>
            </w:r>
            <w:r>
              <w:rPr>
                <w:rFonts w:hint="eastAsia"/>
                <w:kern w:val="0"/>
              </w:rPr>
              <w:t>（投标基准价</w:t>
            </w:r>
            <w:r>
              <w:rPr>
                <w:kern w:val="0"/>
              </w:rPr>
              <w:t>/</w:t>
            </w:r>
            <w:r>
              <w:rPr>
                <w:rFonts w:hint="eastAsia"/>
                <w:kern w:val="0"/>
              </w:rPr>
              <w:t>投标报价）×</w:t>
            </w:r>
            <w:r>
              <w:rPr>
                <w:kern w:val="0"/>
              </w:rPr>
              <w:t>30</w:t>
            </w:r>
            <w:r>
              <w:rPr>
                <w:rFonts w:hint="eastAsia"/>
              </w:rPr>
              <w:t>（小数点后保留2</w:t>
            </w:r>
            <w:r>
              <w:rPr>
                <w:rFonts w:hint="eastAsia" w:ascii="宋体" w:hAnsi="宋体"/>
              </w:rPr>
              <w:t>位）。</w:t>
            </w:r>
          </w:p>
        </w:tc>
        <w:tc>
          <w:tcPr>
            <w:tcW w:w="929" w:type="dxa"/>
            <w:tcBorders>
              <w:top w:val="single" w:color="auto" w:sz="6" w:space="0"/>
              <w:left w:val="nil"/>
              <w:bottom w:val="single" w:color="auto" w:sz="6" w:space="0"/>
              <w:right w:val="single" w:color="auto" w:sz="12" w:space="0"/>
            </w:tcBorders>
            <w:vAlign w:val="center"/>
          </w:tcPr>
          <w:p>
            <w:pPr>
              <w:spacing w:line="300" w:lineRule="exact"/>
              <w:jc w:val="center"/>
              <w:rPr>
                <w:rFonts w:ascii="宋体" w:hAnsi="宋体" w:cs="Arial"/>
              </w:rPr>
            </w:pPr>
            <w:r>
              <w:rPr>
                <w:rFonts w:hint="eastAsia" w:ascii="宋体" w:hAnsi="宋体" w:cs="Arial"/>
              </w:rPr>
              <w:t>0-</w:t>
            </w:r>
            <w:r>
              <w:rPr>
                <w:rFonts w:ascii="宋体" w:hAnsi="宋体" w:cs="Arial"/>
              </w:rPr>
              <w:t>3</w:t>
            </w:r>
            <w:r>
              <w:rPr>
                <w:rFonts w:hint="eastAsia" w:ascii="宋体" w:hAnsi="宋体" w:cs="Arial"/>
              </w:rPr>
              <w:t>0</w:t>
            </w:r>
          </w:p>
        </w:tc>
      </w:tr>
      <w:tr>
        <w:tblPrEx>
          <w:tblLayout w:type="fixed"/>
          <w:tblCellMar>
            <w:top w:w="0" w:type="dxa"/>
            <w:left w:w="108" w:type="dxa"/>
            <w:bottom w:w="0" w:type="dxa"/>
            <w:right w:w="108" w:type="dxa"/>
          </w:tblCellMar>
        </w:tblPrEx>
        <w:trPr>
          <w:cantSplit/>
          <w:trHeight w:val="1716" w:hRule="atLeast"/>
          <w:jc w:val="center"/>
        </w:trPr>
        <w:tc>
          <w:tcPr>
            <w:tcW w:w="1112" w:type="dxa"/>
            <w:tcBorders>
              <w:top w:val="single" w:color="auto" w:sz="6" w:space="0"/>
              <w:left w:val="single" w:color="auto" w:sz="12" w:space="0"/>
              <w:bottom w:val="single" w:color="auto" w:sz="4" w:space="0"/>
              <w:right w:val="single" w:color="auto" w:sz="4" w:space="0"/>
            </w:tcBorders>
            <w:vAlign w:val="center"/>
          </w:tcPr>
          <w:p>
            <w:pPr>
              <w:spacing w:line="300" w:lineRule="exact"/>
              <w:rPr>
                <w:rFonts w:ascii="宋体" w:hAnsi="宋体" w:cs="Arial"/>
              </w:rPr>
            </w:pPr>
            <w:r>
              <w:rPr>
                <w:rFonts w:hint="eastAsia" w:ascii="宋体" w:hAnsi="宋体" w:cs="Arial"/>
              </w:rPr>
              <w:t>软件演示</w:t>
            </w:r>
          </w:p>
          <w:p>
            <w:pPr>
              <w:spacing w:line="300" w:lineRule="exact"/>
              <w:jc w:val="center"/>
              <w:rPr>
                <w:rFonts w:ascii="宋体" w:hAnsi="宋体" w:cs="Arial"/>
              </w:rPr>
            </w:pPr>
            <w:r>
              <w:rPr>
                <w:rFonts w:hint="eastAsia" w:ascii="宋体" w:hAnsi="宋体" w:cs="Arial"/>
              </w:rPr>
              <w:t>20分</w:t>
            </w:r>
          </w:p>
        </w:tc>
        <w:tc>
          <w:tcPr>
            <w:tcW w:w="904" w:type="dxa"/>
            <w:tcBorders>
              <w:top w:val="single" w:color="auto" w:sz="6" w:space="0"/>
              <w:left w:val="nil"/>
              <w:bottom w:val="single" w:color="auto" w:sz="4" w:space="0"/>
              <w:right w:val="single" w:color="auto" w:sz="6" w:space="0"/>
            </w:tcBorders>
            <w:vAlign w:val="center"/>
          </w:tcPr>
          <w:p>
            <w:pPr>
              <w:spacing w:line="300" w:lineRule="exact"/>
              <w:rPr>
                <w:rFonts w:ascii="宋体" w:hAnsi="宋体" w:cs="Arial"/>
              </w:rPr>
            </w:pPr>
            <w:r>
              <w:rPr>
                <w:rFonts w:hint="eastAsia" w:ascii="宋体" w:hAnsi="宋体" w:cs="Arial"/>
              </w:rPr>
              <w:t>现场软件演示环节</w:t>
            </w:r>
          </w:p>
        </w:tc>
        <w:tc>
          <w:tcPr>
            <w:tcW w:w="662" w:type="dxa"/>
            <w:tcBorders>
              <w:top w:val="single" w:color="auto" w:sz="6" w:space="0"/>
              <w:left w:val="nil"/>
              <w:bottom w:val="single" w:color="auto" w:sz="4" w:space="0"/>
              <w:right w:val="single" w:color="auto" w:sz="6" w:space="0"/>
            </w:tcBorders>
            <w:vAlign w:val="center"/>
          </w:tcPr>
          <w:p>
            <w:pPr>
              <w:spacing w:line="300" w:lineRule="exact"/>
              <w:jc w:val="center"/>
              <w:rPr>
                <w:rFonts w:ascii="宋体" w:hAnsi="宋体" w:cs="Arial"/>
              </w:rPr>
            </w:pPr>
            <w:r>
              <w:rPr>
                <w:rFonts w:hint="eastAsia" w:ascii="宋体" w:hAnsi="宋体" w:cs="Arial"/>
              </w:rPr>
              <w:t>20</w:t>
            </w:r>
          </w:p>
        </w:tc>
        <w:tc>
          <w:tcPr>
            <w:tcW w:w="5849" w:type="dxa"/>
            <w:tcBorders>
              <w:top w:val="single" w:color="auto" w:sz="6" w:space="0"/>
              <w:left w:val="nil"/>
              <w:bottom w:val="single" w:color="auto" w:sz="4" w:space="0"/>
              <w:right w:val="single" w:color="auto" w:sz="6" w:space="0"/>
            </w:tcBorders>
            <w:vAlign w:val="center"/>
          </w:tcPr>
          <w:p>
            <w:pPr>
              <w:spacing w:line="300" w:lineRule="exact"/>
              <w:rPr>
                <w:rFonts w:ascii="宋体" w:hAnsi="宋体" w:cs="Arial"/>
              </w:rPr>
            </w:pPr>
            <w:r>
              <w:rPr>
                <w:rFonts w:hint="eastAsia" w:ascii="宋体" w:hAnsi="宋体" w:cs="Arial"/>
              </w:rPr>
              <w:t>投保人对系统进行演示，注重对投标文件重点指标的响应，重点介绍：1.后台页面、架构和使用的友好程度；2.与OA对接，利用学校的身份认证实现单点登录，实现文档一体化的流程；3.利用档案网站开展档案征集、查询利用的便捷性（界面友好程度、查档预约、审批流程等）和安全性（内外网权限设置、对浏览进行各种控制等）。4.学籍和声像档案模块的功能设计。</w:t>
            </w:r>
          </w:p>
        </w:tc>
        <w:tc>
          <w:tcPr>
            <w:tcW w:w="929" w:type="dxa"/>
            <w:tcBorders>
              <w:top w:val="single" w:color="auto" w:sz="6" w:space="0"/>
              <w:left w:val="nil"/>
              <w:bottom w:val="single" w:color="auto" w:sz="6" w:space="0"/>
              <w:right w:val="single" w:color="auto" w:sz="12" w:space="0"/>
            </w:tcBorders>
            <w:vAlign w:val="center"/>
          </w:tcPr>
          <w:p>
            <w:pPr>
              <w:spacing w:line="300" w:lineRule="exact"/>
              <w:jc w:val="center"/>
              <w:rPr>
                <w:rFonts w:ascii="宋体" w:hAnsi="宋体" w:cs="Arial"/>
              </w:rPr>
            </w:pPr>
            <w:r>
              <w:rPr>
                <w:rFonts w:hint="eastAsia" w:ascii="宋体" w:hAnsi="宋体" w:cs="Arial"/>
              </w:rPr>
              <w:t>0-20</w:t>
            </w:r>
          </w:p>
        </w:tc>
      </w:tr>
      <w:tr>
        <w:tblPrEx>
          <w:tblLayout w:type="fixed"/>
          <w:tblCellMar>
            <w:top w:w="0" w:type="dxa"/>
            <w:left w:w="108" w:type="dxa"/>
            <w:bottom w:w="0" w:type="dxa"/>
            <w:right w:w="108" w:type="dxa"/>
          </w:tblCellMar>
        </w:tblPrEx>
        <w:trPr>
          <w:cantSplit/>
          <w:trHeight w:val="836" w:hRule="atLeast"/>
          <w:jc w:val="center"/>
        </w:trPr>
        <w:tc>
          <w:tcPr>
            <w:tcW w:w="1112" w:type="dxa"/>
            <w:tcBorders>
              <w:top w:val="single" w:color="auto" w:sz="6" w:space="0"/>
              <w:left w:val="single" w:color="auto" w:sz="12" w:space="0"/>
              <w:bottom w:val="single" w:color="auto" w:sz="4" w:space="0"/>
              <w:right w:val="single" w:color="auto" w:sz="4" w:space="0"/>
            </w:tcBorders>
            <w:vAlign w:val="center"/>
          </w:tcPr>
          <w:p>
            <w:pPr>
              <w:spacing w:line="300" w:lineRule="exact"/>
              <w:jc w:val="center"/>
              <w:rPr>
                <w:rFonts w:ascii="宋体" w:hAnsi="宋体" w:cs="Arial"/>
              </w:rPr>
            </w:pPr>
            <w:r>
              <w:rPr>
                <w:rFonts w:hint="eastAsia" w:ascii="宋体" w:hAnsi="宋体" w:cs="Arial"/>
              </w:rPr>
              <w:t>陈述答辩</w:t>
            </w:r>
          </w:p>
          <w:p>
            <w:pPr>
              <w:spacing w:line="300" w:lineRule="exact"/>
              <w:jc w:val="center"/>
              <w:rPr>
                <w:rFonts w:ascii="宋体" w:hAnsi="宋体" w:cs="Arial"/>
              </w:rPr>
            </w:pPr>
            <w:r>
              <w:rPr>
                <w:rFonts w:hint="eastAsia" w:ascii="宋体" w:hAnsi="宋体" w:cs="Arial"/>
              </w:rPr>
              <w:t>10分</w:t>
            </w:r>
          </w:p>
        </w:tc>
        <w:tc>
          <w:tcPr>
            <w:tcW w:w="904" w:type="dxa"/>
            <w:tcBorders>
              <w:top w:val="single" w:color="auto" w:sz="6" w:space="0"/>
              <w:left w:val="nil"/>
              <w:bottom w:val="single" w:color="auto" w:sz="4" w:space="0"/>
              <w:right w:val="single" w:color="auto" w:sz="6" w:space="0"/>
            </w:tcBorders>
            <w:vAlign w:val="center"/>
          </w:tcPr>
          <w:p>
            <w:pPr>
              <w:spacing w:line="300" w:lineRule="exact"/>
              <w:rPr>
                <w:rFonts w:ascii="宋体" w:hAnsi="宋体" w:cs="Arial"/>
              </w:rPr>
            </w:pPr>
            <w:r>
              <w:rPr>
                <w:rFonts w:hint="eastAsia" w:ascii="宋体" w:hAnsi="宋体" w:cs="Arial"/>
              </w:rPr>
              <w:t>陈述答辩环节</w:t>
            </w:r>
          </w:p>
        </w:tc>
        <w:tc>
          <w:tcPr>
            <w:tcW w:w="662" w:type="dxa"/>
            <w:tcBorders>
              <w:top w:val="single" w:color="auto" w:sz="6" w:space="0"/>
              <w:left w:val="nil"/>
              <w:bottom w:val="single" w:color="auto" w:sz="4" w:space="0"/>
              <w:right w:val="single" w:color="auto" w:sz="6" w:space="0"/>
            </w:tcBorders>
            <w:vAlign w:val="center"/>
          </w:tcPr>
          <w:p>
            <w:pPr>
              <w:spacing w:line="300" w:lineRule="exact"/>
              <w:jc w:val="center"/>
              <w:rPr>
                <w:rFonts w:ascii="宋体" w:hAnsi="宋体" w:cs="Arial"/>
              </w:rPr>
            </w:pPr>
            <w:r>
              <w:rPr>
                <w:rFonts w:hint="eastAsia" w:ascii="宋体" w:hAnsi="宋体" w:cs="Arial"/>
              </w:rPr>
              <w:t>10</w:t>
            </w:r>
          </w:p>
        </w:tc>
        <w:tc>
          <w:tcPr>
            <w:tcW w:w="5849" w:type="dxa"/>
            <w:tcBorders>
              <w:top w:val="single" w:color="auto" w:sz="6" w:space="0"/>
              <w:left w:val="nil"/>
              <w:bottom w:val="single" w:color="auto" w:sz="4" w:space="0"/>
              <w:right w:val="single" w:color="auto" w:sz="6" w:space="0"/>
            </w:tcBorders>
            <w:vAlign w:val="center"/>
          </w:tcPr>
          <w:p>
            <w:pPr>
              <w:spacing w:line="300" w:lineRule="exact"/>
              <w:rPr>
                <w:rFonts w:ascii="宋体" w:hAnsi="宋体"/>
              </w:rPr>
            </w:pPr>
            <w:r>
              <w:rPr>
                <w:rFonts w:hint="eastAsia" w:ascii="宋体" w:hAnsi="宋体"/>
              </w:rPr>
              <w:t>投标人对第五点：（五）“其他技术、功能和实施等要求</w:t>
            </w:r>
          </w:p>
          <w:p>
            <w:pPr>
              <w:spacing w:line="300" w:lineRule="exact"/>
              <w:rPr>
                <w:rFonts w:ascii="宋体" w:hAnsi="宋体" w:cs="Arial"/>
              </w:rPr>
            </w:pPr>
            <w:r>
              <w:rPr>
                <w:rFonts w:hint="eastAsia" w:ascii="宋体" w:hAnsi="宋体"/>
              </w:rPr>
              <w:t>”提出的问题，进行陈述，并回答评委的问题。得分0—10分</w:t>
            </w:r>
          </w:p>
        </w:tc>
        <w:tc>
          <w:tcPr>
            <w:tcW w:w="929" w:type="dxa"/>
            <w:tcBorders>
              <w:top w:val="single" w:color="auto" w:sz="6" w:space="0"/>
              <w:left w:val="nil"/>
              <w:bottom w:val="single" w:color="auto" w:sz="6" w:space="0"/>
              <w:right w:val="single" w:color="auto" w:sz="12" w:space="0"/>
            </w:tcBorders>
            <w:vAlign w:val="center"/>
          </w:tcPr>
          <w:p>
            <w:pPr>
              <w:spacing w:line="300" w:lineRule="exact"/>
              <w:jc w:val="center"/>
              <w:rPr>
                <w:rFonts w:ascii="宋体" w:hAnsi="宋体" w:cs="Arial"/>
              </w:rPr>
            </w:pPr>
            <w:r>
              <w:rPr>
                <w:rFonts w:hint="eastAsia" w:ascii="宋体" w:hAnsi="宋体" w:cs="Arial"/>
              </w:rPr>
              <w:t>0-10</w:t>
            </w:r>
          </w:p>
        </w:tc>
      </w:tr>
      <w:tr>
        <w:tblPrEx>
          <w:tblLayout w:type="fixed"/>
          <w:tblCellMar>
            <w:top w:w="0" w:type="dxa"/>
            <w:left w:w="108" w:type="dxa"/>
            <w:bottom w:w="0" w:type="dxa"/>
            <w:right w:w="108" w:type="dxa"/>
          </w:tblCellMar>
        </w:tblPrEx>
        <w:trPr>
          <w:cantSplit/>
          <w:trHeight w:val="382" w:hRule="atLeast"/>
          <w:jc w:val="center"/>
        </w:trPr>
        <w:tc>
          <w:tcPr>
            <w:tcW w:w="1112" w:type="dxa"/>
            <w:vMerge w:val="restart"/>
            <w:tcBorders>
              <w:top w:val="nil"/>
              <w:left w:val="single" w:color="auto" w:sz="12" w:space="0"/>
              <w:bottom w:val="single" w:color="auto" w:sz="6" w:space="0"/>
              <w:right w:val="single" w:color="auto" w:sz="4" w:space="0"/>
            </w:tcBorders>
            <w:vAlign w:val="center"/>
          </w:tcPr>
          <w:p>
            <w:pPr>
              <w:adjustRightInd w:val="0"/>
              <w:snapToGrid w:val="0"/>
              <w:spacing w:line="273" w:lineRule="auto"/>
              <w:jc w:val="center"/>
              <w:rPr>
                <w:rFonts w:ascii="宋体" w:hAnsi="宋体" w:cs="Arial"/>
              </w:rPr>
            </w:pPr>
            <w:r>
              <w:rPr>
                <w:rFonts w:hint="eastAsia" w:ascii="宋体" w:hAnsi="宋体" w:cs="Arial"/>
              </w:rPr>
              <w:t>商务部份</w:t>
            </w:r>
          </w:p>
          <w:p>
            <w:pPr>
              <w:adjustRightInd w:val="0"/>
              <w:jc w:val="center"/>
              <w:rPr>
                <w:rFonts w:ascii="宋体" w:hAnsi="宋体" w:cs="Arial"/>
                <w:highlight w:val="red"/>
              </w:rPr>
            </w:pPr>
            <w:r>
              <w:rPr>
                <w:rFonts w:hint="eastAsia" w:ascii="宋体" w:hAnsi="宋体" w:cs="Arial"/>
              </w:rPr>
              <w:t>10分</w:t>
            </w:r>
          </w:p>
        </w:tc>
        <w:tc>
          <w:tcPr>
            <w:tcW w:w="904" w:type="dxa"/>
            <w:tcBorders>
              <w:top w:val="single" w:color="auto" w:sz="4" w:space="0"/>
              <w:left w:val="nil"/>
              <w:bottom w:val="single" w:color="auto" w:sz="6" w:space="0"/>
              <w:right w:val="single" w:color="auto" w:sz="6" w:space="0"/>
            </w:tcBorders>
            <w:vAlign w:val="center"/>
          </w:tcPr>
          <w:p>
            <w:pPr>
              <w:adjustRightInd w:val="0"/>
              <w:jc w:val="center"/>
              <w:rPr>
                <w:rFonts w:ascii="宋体" w:hAnsi="宋体" w:cs="Arial"/>
              </w:rPr>
            </w:pPr>
            <w:r>
              <w:rPr>
                <w:rFonts w:hint="eastAsia" w:ascii="宋体" w:hAnsi="宋体" w:cs="Arial"/>
              </w:rPr>
              <w:t>业绩情况</w:t>
            </w:r>
          </w:p>
        </w:tc>
        <w:tc>
          <w:tcPr>
            <w:tcW w:w="662" w:type="dxa"/>
            <w:tcBorders>
              <w:top w:val="single" w:color="auto" w:sz="4" w:space="0"/>
              <w:left w:val="nil"/>
              <w:bottom w:val="single" w:color="auto" w:sz="6" w:space="0"/>
              <w:right w:val="single" w:color="auto" w:sz="6" w:space="0"/>
            </w:tcBorders>
            <w:vAlign w:val="center"/>
          </w:tcPr>
          <w:p>
            <w:pPr>
              <w:adjustRightInd w:val="0"/>
              <w:jc w:val="center"/>
              <w:rPr>
                <w:rFonts w:ascii="宋体" w:hAnsi="宋体" w:cs="Arial"/>
              </w:rPr>
            </w:pPr>
            <w:r>
              <w:rPr>
                <w:rFonts w:hint="eastAsia" w:ascii="宋体" w:hAnsi="宋体" w:cs="Arial"/>
              </w:rPr>
              <w:t>10</w:t>
            </w:r>
          </w:p>
        </w:tc>
        <w:tc>
          <w:tcPr>
            <w:tcW w:w="5849" w:type="dxa"/>
            <w:tcBorders>
              <w:top w:val="single" w:color="auto" w:sz="4" w:space="0"/>
              <w:left w:val="nil"/>
              <w:bottom w:val="single" w:color="auto" w:sz="4" w:space="0"/>
              <w:right w:val="single" w:color="auto" w:sz="6" w:space="0"/>
            </w:tcBorders>
            <w:vAlign w:val="center"/>
          </w:tcPr>
          <w:p>
            <w:pPr>
              <w:widowControl/>
              <w:rPr>
                <w:rFonts w:ascii="宋体" w:hAnsi="宋体"/>
              </w:rPr>
            </w:pPr>
            <w:r>
              <w:rPr>
                <w:rFonts w:hint="eastAsia" w:ascii="宋体" w:hAnsi="宋体" w:cs="Arial"/>
              </w:rPr>
              <w:t>投标人2013年1月1日以来高校档案馆单项软件合同1</w:t>
            </w:r>
            <w:r>
              <w:rPr>
                <w:rFonts w:ascii="宋体" w:hAnsi="宋体" w:cs="Arial"/>
              </w:rPr>
              <w:t>0</w:t>
            </w:r>
            <w:r>
              <w:rPr>
                <w:rFonts w:hint="eastAsia" w:ascii="宋体" w:hAnsi="宋体" w:cs="Arial"/>
              </w:rPr>
              <w:t>万以上相似案例的，每提供1个案例得2分；最高</w:t>
            </w:r>
            <w:r>
              <w:rPr>
                <w:rFonts w:ascii="宋体" w:hAnsi="宋体" w:cs="Arial"/>
              </w:rPr>
              <w:t>10</w:t>
            </w:r>
            <w:r>
              <w:rPr>
                <w:rFonts w:hint="eastAsia" w:ascii="宋体" w:hAnsi="宋体" w:cs="Arial"/>
              </w:rPr>
              <w:t>分。（提供复印件，原件备查）</w:t>
            </w:r>
          </w:p>
        </w:tc>
        <w:tc>
          <w:tcPr>
            <w:tcW w:w="929" w:type="dxa"/>
            <w:tcBorders>
              <w:top w:val="single" w:color="auto" w:sz="6" w:space="0"/>
              <w:left w:val="nil"/>
              <w:bottom w:val="single" w:color="auto" w:sz="4" w:space="0"/>
              <w:right w:val="single" w:color="auto" w:sz="12" w:space="0"/>
            </w:tcBorders>
            <w:vAlign w:val="center"/>
          </w:tcPr>
          <w:p>
            <w:pPr>
              <w:adjustRightInd w:val="0"/>
              <w:jc w:val="center"/>
              <w:rPr>
                <w:rFonts w:ascii="宋体" w:hAnsi="宋体" w:cs="Arial"/>
              </w:rPr>
            </w:pPr>
            <w:r>
              <w:rPr>
                <w:rFonts w:hint="eastAsia" w:ascii="宋体" w:hAnsi="宋体" w:cs="Arial"/>
              </w:rPr>
              <w:t>0-10</w:t>
            </w:r>
          </w:p>
        </w:tc>
      </w:tr>
      <w:tr>
        <w:tblPrEx>
          <w:tblLayout w:type="fixed"/>
          <w:tblCellMar>
            <w:top w:w="0" w:type="dxa"/>
            <w:left w:w="108" w:type="dxa"/>
            <w:bottom w:w="0" w:type="dxa"/>
            <w:right w:w="108" w:type="dxa"/>
          </w:tblCellMar>
        </w:tblPrEx>
        <w:trPr>
          <w:cantSplit/>
          <w:trHeight w:val="693" w:hRule="atLeast"/>
          <w:jc w:val="center"/>
        </w:trPr>
        <w:tc>
          <w:tcPr>
            <w:tcW w:w="1112" w:type="dxa"/>
            <w:vMerge w:val="continue"/>
            <w:tcBorders>
              <w:top w:val="nil"/>
              <w:left w:val="single" w:color="auto" w:sz="12" w:space="0"/>
              <w:bottom w:val="single" w:color="auto" w:sz="6" w:space="0"/>
              <w:right w:val="single" w:color="auto" w:sz="4" w:space="0"/>
            </w:tcBorders>
            <w:vAlign w:val="center"/>
          </w:tcPr>
          <w:p>
            <w:pPr>
              <w:widowControl/>
              <w:jc w:val="left"/>
              <w:rPr>
                <w:rFonts w:ascii="宋体" w:hAnsi="宋体" w:cs="Arial"/>
                <w:highlight w:val="red"/>
              </w:rPr>
            </w:pPr>
          </w:p>
        </w:tc>
        <w:tc>
          <w:tcPr>
            <w:tcW w:w="904" w:type="dxa"/>
            <w:tcBorders>
              <w:top w:val="nil"/>
              <w:left w:val="nil"/>
              <w:bottom w:val="single" w:color="auto" w:sz="6" w:space="0"/>
              <w:right w:val="single" w:color="auto" w:sz="6" w:space="0"/>
            </w:tcBorders>
            <w:vAlign w:val="center"/>
          </w:tcPr>
          <w:p>
            <w:pPr>
              <w:adjustRightInd w:val="0"/>
              <w:rPr>
                <w:rFonts w:ascii="宋体" w:hAnsi="宋体" w:cs="Arial"/>
              </w:rPr>
            </w:pPr>
            <w:r>
              <w:rPr>
                <w:rFonts w:hint="eastAsia" w:ascii="宋体" w:hAnsi="宋体" w:cs="Arial"/>
              </w:rPr>
              <w:t>相关资质</w:t>
            </w:r>
          </w:p>
        </w:tc>
        <w:tc>
          <w:tcPr>
            <w:tcW w:w="662" w:type="dxa"/>
            <w:tcBorders>
              <w:top w:val="nil"/>
              <w:left w:val="nil"/>
              <w:bottom w:val="single" w:color="auto" w:sz="6" w:space="0"/>
              <w:right w:val="single" w:color="auto" w:sz="6" w:space="0"/>
            </w:tcBorders>
            <w:vAlign w:val="center"/>
          </w:tcPr>
          <w:p>
            <w:pPr>
              <w:adjustRightInd w:val="0"/>
              <w:jc w:val="center"/>
              <w:rPr>
                <w:rFonts w:ascii="宋体" w:hAnsi="宋体" w:cs="Arial"/>
              </w:rPr>
            </w:pPr>
            <w:r>
              <w:rPr>
                <w:rFonts w:hint="eastAsia" w:ascii="宋体" w:hAnsi="宋体" w:cs="Arial"/>
              </w:rPr>
              <w:t>10</w:t>
            </w:r>
          </w:p>
        </w:tc>
        <w:tc>
          <w:tcPr>
            <w:tcW w:w="5849" w:type="dxa"/>
            <w:tcBorders>
              <w:top w:val="single" w:color="auto" w:sz="6" w:space="0"/>
              <w:left w:val="nil"/>
              <w:right w:val="single" w:color="auto" w:sz="6" w:space="0"/>
            </w:tcBorders>
            <w:vAlign w:val="center"/>
          </w:tcPr>
          <w:p>
            <w:pPr>
              <w:rPr>
                <w:rFonts w:ascii="宋体" w:hAnsi="宋体" w:cs="Arial"/>
              </w:rPr>
            </w:pPr>
            <w:r>
              <w:rPr>
                <w:rFonts w:hint="eastAsia" w:ascii="宋体" w:hAnsi="宋体" w:cs="Arial"/>
              </w:rPr>
              <w:t>提供国家版权局颁发的与档案管理系统相关的著作权，每一项得1分；</w:t>
            </w:r>
          </w:p>
          <w:p>
            <w:pPr>
              <w:rPr>
                <w:rFonts w:ascii="宋体" w:hAnsi="宋体" w:cs="Arial"/>
              </w:rPr>
            </w:pPr>
            <w:r>
              <w:rPr>
                <w:rFonts w:hint="eastAsia" w:ascii="宋体" w:hAnsi="宋体" w:cs="Arial"/>
              </w:rPr>
              <w:t>提供IS027001信息安全管理体系认证、3A资信证明、计算机信息系统集成企业系统集成资质（四级以上），每满足一项得1分。</w:t>
            </w:r>
          </w:p>
          <w:p>
            <w:pPr>
              <w:rPr>
                <w:rFonts w:ascii="宋体" w:hAnsi="宋体" w:cs="Arial"/>
              </w:rPr>
            </w:pPr>
            <w:r>
              <w:rPr>
                <w:rFonts w:hint="eastAsia" w:ascii="宋体" w:hAnsi="宋体" w:cs="Arial"/>
              </w:rPr>
              <w:t>最高得分10分。（以上所有资质或证书提供复印件，原件备查）</w:t>
            </w:r>
          </w:p>
        </w:tc>
        <w:tc>
          <w:tcPr>
            <w:tcW w:w="929" w:type="dxa"/>
            <w:tcBorders>
              <w:top w:val="single" w:color="auto" w:sz="6" w:space="0"/>
              <w:left w:val="nil"/>
              <w:bottom w:val="single" w:color="auto" w:sz="6" w:space="0"/>
              <w:right w:val="single" w:color="auto" w:sz="12" w:space="0"/>
            </w:tcBorders>
            <w:vAlign w:val="center"/>
          </w:tcPr>
          <w:p>
            <w:pPr>
              <w:adjustRightInd w:val="0"/>
              <w:jc w:val="center"/>
              <w:rPr>
                <w:rFonts w:ascii="宋体" w:hAnsi="宋体" w:cs="Arial"/>
              </w:rPr>
            </w:pPr>
            <w:r>
              <w:rPr>
                <w:rFonts w:hint="eastAsia" w:ascii="宋体" w:hAnsi="宋体" w:cs="Arial"/>
              </w:rPr>
              <w:t>0-10</w:t>
            </w:r>
          </w:p>
        </w:tc>
      </w:tr>
      <w:tr>
        <w:tblPrEx>
          <w:tblLayout w:type="fixed"/>
          <w:tblCellMar>
            <w:top w:w="0" w:type="dxa"/>
            <w:left w:w="108" w:type="dxa"/>
            <w:bottom w:w="0" w:type="dxa"/>
            <w:right w:w="108" w:type="dxa"/>
          </w:tblCellMar>
        </w:tblPrEx>
        <w:trPr>
          <w:cantSplit/>
          <w:trHeight w:val="937" w:hRule="atLeast"/>
          <w:jc w:val="center"/>
        </w:trPr>
        <w:tc>
          <w:tcPr>
            <w:tcW w:w="1112" w:type="dxa"/>
            <w:tcBorders>
              <w:top w:val="nil"/>
              <w:left w:val="single" w:color="auto" w:sz="12" w:space="0"/>
              <w:bottom w:val="single" w:color="auto" w:sz="12" w:space="0"/>
              <w:right w:val="single" w:color="auto" w:sz="4" w:space="0"/>
            </w:tcBorders>
            <w:vAlign w:val="center"/>
          </w:tcPr>
          <w:p>
            <w:pPr>
              <w:adjustRightInd w:val="0"/>
              <w:jc w:val="center"/>
              <w:rPr>
                <w:rFonts w:ascii="宋体" w:hAnsi="宋体" w:cs="Arial"/>
              </w:rPr>
            </w:pPr>
            <w:r>
              <w:rPr>
                <w:rFonts w:hint="eastAsia" w:ascii="宋体" w:hAnsi="宋体" w:cs="Arial"/>
              </w:rPr>
              <w:t>技术部分与售后服务</w:t>
            </w:r>
          </w:p>
          <w:p>
            <w:pPr>
              <w:adjustRightInd w:val="0"/>
              <w:jc w:val="center"/>
              <w:rPr>
                <w:rFonts w:ascii="宋体" w:hAnsi="宋体" w:cs="Arial"/>
                <w:highlight w:val="red"/>
              </w:rPr>
            </w:pPr>
            <w:r>
              <w:rPr>
                <w:rFonts w:hint="eastAsia" w:ascii="宋体" w:hAnsi="宋体" w:cs="Arial"/>
              </w:rPr>
              <w:t>20分</w:t>
            </w:r>
          </w:p>
        </w:tc>
        <w:tc>
          <w:tcPr>
            <w:tcW w:w="904" w:type="dxa"/>
            <w:tcBorders>
              <w:top w:val="single" w:color="auto" w:sz="6" w:space="0"/>
              <w:left w:val="nil"/>
              <w:bottom w:val="single" w:color="auto" w:sz="6" w:space="0"/>
              <w:right w:val="single" w:color="auto" w:sz="6" w:space="0"/>
            </w:tcBorders>
            <w:vAlign w:val="center"/>
          </w:tcPr>
          <w:p>
            <w:pPr>
              <w:adjustRightInd w:val="0"/>
              <w:jc w:val="center"/>
              <w:rPr>
                <w:rFonts w:ascii="宋体" w:hAnsi="宋体" w:cs="Arial"/>
              </w:rPr>
            </w:pPr>
            <w:r>
              <w:rPr>
                <w:rFonts w:hint="eastAsia" w:ascii="宋体" w:hAnsi="宋体" w:cs="Arial"/>
              </w:rPr>
              <w:t>整体需求满足程度</w:t>
            </w:r>
          </w:p>
        </w:tc>
        <w:tc>
          <w:tcPr>
            <w:tcW w:w="662" w:type="dxa"/>
            <w:tcBorders>
              <w:top w:val="single" w:color="auto" w:sz="6" w:space="0"/>
              <w:left w:val="nil"/>
              <w:bottom w:val="single" w:color="auto" w:sz="6" w:space="0"/>
              <w:right w:val="single" w:color="auto" w:sz="6" w:space="0"/>
            </w:tcBorders>
            <w:vAlign w:val="center"/>
          </w:tcPr>
          <w:p>
            <w:pPr>
              <w:adjustRightInd w:val="0"/>
              <w:jc w:val="center"/>
              <w:rPr>
                <w:rFonts w:ascii="宋体" w:hAnsi="宋体" w:cs="Arial"/>
              </w:rPr>
            </w:pPr>
            <w:r>
              <w:rPr>
                <w:rFonts w:ascii="宋体" w:hAnsi="宋体" w:cs="Arial"/>
              </w:rPr>
              <w:t>2</w:t>
            </w:r>
            <w:r>
              <w:rPr>
                <w:rFonts w:hint="eastAsia" w:ascii="宋体" w:hAnsi="宋体" w:cs="Arial"/>
              </w:rPr>
              <w:t>0</w:t>
            </w:r>
          </w:p>
        </w:tc>
        <w:tc>
          <w:tcPr>
            <w:tcW w:w="5849" w:type="dxa"/>
            <w:tcBorders>
              <w:top w:val="single" w:color="auto" w:sz="6" w:space="0"/>
              <w:left w:val="nil"/>
              <w:bottom w:val="single" w:color="auto" w:sz="6" w:space="0"/>
              <w:right w:val="single" w:color="auto" w:sz="6" w:space="0"/>
            </w:tcBorders>
            <w:vAlign w:val="center"/>
          </w:tcPr>
          <w:p>
            <w:pPr>
              <w:adjustRightInd w:val="0"/>
              <w:jc w:val="left"/>
              <w:rPr>
                <w:rFonts w:ascii="宋体" w:hAnsi="宋体" w:cs="Arial"/>
              </w:rPr>
            </w:pPr>
            <w:r>
              <w:rPr>
                <w:rFonts w:hint="eastAsia" w:ascii="宋体" w:hAnsi="宋体" w:cs="Arial"/>
              </w:rPr>
              <w:t>对所投产品技术要求、功能模块、售后服务三项，完全满足招标文件全部系统功能要求的得</w:t>
            </w:r>
            <w:r>
              <w:rPr>
                <w:rFonts w:ascii="宋体" w:hAnsi="宋体" w:cs="Arial"/>
              </w:rPr>
              <w:t>2</w:t>
            </w:r>
            <w:r>
              <w:rPr>
                <w:rFonts w:hint="eastAsia" w:ascii="宋体" w:hAnsi="宋体" w:cs="Arial"/>
              </w:rPr>
              <w:t>0分，不满足一项扣1分，扣完为止。</w:t>
            </w:r>
          </w:p>
        </w:tc>
        <w:tc>
          <w:tcPr>
            <w:tcW w:w="929" w:type="dxa"/>
            <w:tcBorders>
              <w:top w:val="single" w:color="auto" w:sz="6" w:space="0"/>
              <w:left w:val="nil"/>
              <w:bottom w:val="single" w:color="auto" w:sz="6" w:space="0"/>
              <w:right w:val="single" w:color="auto" w:sz="12" w:space="0"/>
            </w:tcBorders>
            <w:vAlign w:val="center"/>
          </w:tcPr>
          <w:p>
            <w:pPr>
              <w:jc w:val="center"/>
              <w:rPr>
                <w:rFonts w:ascii="宋体" w:hAnsi="宋体" w:cs="Arial"/>
              </w:rPr>
            </w:pPr>
            <w:r>
              <w:rPr>
                <w:rFonts w:hint="eastAsia" w:ascii="宋体" w:hAnsi="宋体" w:cs="Arial"/>
              </w:rPr>
              <w:t>0-20</w:t>
            </w:r>
          </w:p>
        </w:tc>
      </w:tr>
      <w:tr>
        <w:tblPrEx>
          <w:tblLayout w:type="fixed"/>
          <w:tblCellMar>
            <w:top w:w="0" w:type="dxa"/>
            <w:left w:w="108" w:type="dxa"/>
            <w:bottom w:w="0" w:type="dxa"/>
            <w:right w:w="108" w:type="dxa"/>
          </w:tblCellMar>
        </w:tblPrEx>
        <w:trPr>
          <w:cantSplit/>
          <w:trHeight w:val="454" w:hRule="atLeast"/>
          <w:jc w:val="center"/>
        </w:trPr>
        <w:tc>
          <w:tcPr>
            <w:tcW w:w="2678" w:type="dxa"/>
            <w:gridSpan w:val="3"/>
            <w:tcBorders>
              <w:top w:val="single" w:color="auto" w:sz="6" w:space="0"/>
              <w:left w:val="single" w:color="auto" w:sz="12" w:space="0"/>
              <w:bottom w:val="single" w:color="auto" w:sz="12" w:space="0"/>
              <w:right w:val="single" w:color="auto" w:sz="6" w:space="0"/>
            </w:tcBorders>
            <w:vAlign w:val="center"/>
          </w:tcPr>
          <w:p>
            <w:pPr>
              <w:widowControl/>
              <w:jc w:val="center"/>
              <w:rPr>
                <w:rFonts w:ascii="宋体" w:hAnsi="宋体" w:cs="Arial"/>
                <w:highlight w:val="yellow"/>
              </w:rPr>
            </w:pPr>
            <w:r>
              <w:rPr>
                <w:rFonts w:hint="eastAsia" w:ascii="宋体" w:hAnsi="宋体" w:cs="Arial"/>
              </w:rPr>
              <w:t>合计</w:t>
            </w:r>
          </w:p>
        </w:tc>
        <w:tc>
          <w:tcPr>
            <w:tcW w:w="5849" w:type="dxa"/>
            <w:tcBorders>
              <w:top w:val="single" w:color="auto" w:sz="6" w:space="0"/>
              <w:left w:val="nil"/>
              <w:bottom w:val="single" w:color="auto" w:sz="12" w:space="0"/>
              <w:right w:val="single" w:color="auto" w:sz="6" w:space="0"/>
            </w:tcBorders>
            <w:vAlign w:val="center"/>
          </w:tcPr>
          <w:p>
            <w:pPr>
              <w:jc w:val="center"/>
              <w:rPr>
                <w:rFonts w:ascii="宋体" w:hAnsi="宋体" w:cs="Arial"/>
              </w:rPr>
            </w:pPr>
            <w:r>
              <w:rPr>
                <w:rFonts w:hint="eastAsia" w:ascii="宋体" w:hAnsi="宋体" w:cs="Arial"/>
              </w:rPr>
              <w:t>100分</w:t>
            </w:r>
          </w:p>
        </w:tc>
        <w:tc>
          <w:tcPr>
            <w:tcW w:w="929" w:type="dxa"/>
            <w:tcBorders>
              <w:top w:val="single" w:color="auto" w:sz="6" w:space="0"/>
              <w:left w:val="nil"/>
              <w:bottom w:val="single" w:color="auto" w:sz="12" w:space="0"/>
              <w:right w:val="single" w:color="auto" w:sz="12" w:space="0"/>
            </w:tcBorders>
            <w:vAlign w:val="center"/>
          </w:tcPr>
          <w:p>
            <w:pPr>
              <w:jc w:val="center"/>
              <w:rPr>
                <w:rFonts w:ascii="宋体" w:hAnsi="宋体" w:cs="Arial"/>
              </w:rPr>
            </w:pPr>
          </w:p>
        </w:tc>
      </w:tr>
    </w:tbl>
    <w:p>
      <w:pPr>
        <w:snapToGrid w:val="0"/>
        <w:spacing w:line="360" w:lineRule="auto"/>
        <w:rPr>
          <w:rFonts w:ascii="宋体" w:hAnsi="宋体"/>
          <w:b/>
          <w:sz w:val="24"/>
        </w:rPr>
      </w:pPr>
    </w:p>
    <w:p>
      <w:pPr>
        <w:snapToGrid w:val="0"/>
        <w:spacing w:line="360" w:lineRule="auto"/>
        <w:ind w:firstLine="480" w:firstLineChars="200"/>
        <w:rPr>
          <w:rFonts w:ascii="宋体" w:hAnsi="宋体"/>
          <w:sz w:val="24"/>
        </w:rPr>
      </w:pPr>
      <w:r>
        <w:rPr>
          <w:rFonts w:hint="eastAsia" w:ascii="宋体" w:hAnsi="宋体"/>
          <w:sz w:val="24"/>
        </w:rPr>
        <w:t>评标工作小组在对投标人所投产品技术功能、报价与售后服务以及公司业绩、信用等进行综合评分，得分最高者中标。对未中标人，将不作任何解释，标书不退回。</w:t>
      </w:r>
    </w:p>
    <w:p>
      <w:pPr>
        <w:spacing w:line="360" w:lineRule="auto"/>
        <w:ind w:firstLine="482" w:firstLineChars="200"/>
        <w:rPr>
          <w:rFonts w:ascii="宋体" w:hAnsi="宋体" w:cs="宋体"/>
          <w:b/>
          <w:sz w:val="24"/>
        </w:rPr>
      </w:pPr>
      <w:r>
        <w:rPr>
          <w:rFonts w:hint="eastAsia" w:ascii="宋体" w:hAnsi="宋体" w:cs="宋体"/>
          <w:b/>
          <w:sz w:val="24"/>
        </w:rPr>
        <w:t>五、总体技术要求</w:t>
      </w:r>
    </w:p>
    <w:p>
      <w:pPr>
        <w:spacing w:line="360" w:lineRule="auto"/>
        <w:ind w:firstLine="480" w:firstLineChars="200"/>
        <w:rPr>
          <w:rFonts w:ascii="宋体" w:hAnsi="宋体" w:cs="宋体"/>
          <w:sz w:val="24"/>
        </w:rPr>
      </w:pPr>
      <w:r>
        <w:rPr>
          <w:rFonts w:hint="eastAsia" w:ascii="宋体" w:hAnsi="宋体" w:cs="宋体"/>
          <w:sz w:val="24"/>
        </w:rPr>
        <w:t>投标文件应当对以下标注★的实质性要求做出响应, 其中不能满足任何一项，投标文件将被拒绝。不标注★的要求，为加分项。</w:t>
      </w:r>
    </w:p>
    <w:p>
      <w:pPr>
        <w:spacing w:line="360" w:lineRule="auto"/>
        <w:ind w:firstLine="482" w:firstLineChars="200"/>
        <w:rPr>
          <w:rFonts w:ascii="宋体" w:hAnsi="宋体" w:cs="宋体"/>
          <w:b/>
          <w:sz w:val="24"/>
        </w:rPr>
      </w:pPr>
      <w:r>
        <w:rPr>
          <w:rFonts w:hint="eastAsia" w:ascii="宋体" w:hAnsi="宋体" w:cs="宋体"/>
          <w:b/>
          <w:sz w:val="24"/>
        </w:rPr>
        <w:t>(一)总体技术要求</w:t>
      </w:r>
    </w:p>
    <w:p>
      <w:pPr>
        <w:spacing w:before="100" w:beforeAutospacing="1" w:after="100" w:afterAutospacing="1" w:line="360" w:lineRule="exact"/>
        <w:ind w:left="840" w:leftChars="200" w:hanging="420"/>
        <w:jc w:val="left"/>
        <w:rPr>
          <w:rFonts w:ascii="宋体" w:hAnsi="宋体" w:cs="宋体"/>
          <w:b/>
          <w:bCs/>
          <w:color w:val="000000"/>
          <w:sz w:val="24"/>
        </w:rPr>
      </w:pPr>
      <w:r>
        <w:rPr>
          <w:rFonts w:hint="eastAsia" w:ascii="宋体" w:hAnsi="宋体" w:cs="宋体"/>
          <w:b/>
          <w:bCs/>
          <w:color w:val="000000"/>
          <w:sz w:val="24"/>
        </w:rPr>
        <w:t>1．软件平台应遵循的规范体系</w:t>
      </w:r>
    </w:p>
    <w:p>
      <w:pPr>
        <w:numPr>
          <w:ilvl w:val="0"/>
          <w:numId w:val="2"/>
        </w:numPr>
        <w:snapToGrid w:val="0"/>
        <w:spacing w:line="360" w:lineRule="auto"/>
        <w:rPr>
          <w:rFonts w:ascii="宋体" w:hAnsi="宋体" w:cs="宋体"/>
          <w:color w:val="000000"/>
          <w:sz w:val="24"/>
        </w:rPr>
      </w:pPr>
      <w:r>
        <w:rPr>
          <w:rFonts w:hint="eastAsia" w:ascii="宋体" w:hAnsi="宋体" w:cs="宋体"/>
          <w:color w:val="000000"/>
          <w:sz w:val="24"/>
        </w:rPr>
        <w:t>《国家行政机关公文处理办法》</w:t>
      </w:r>
    </w:p>
    <w:p>
      <w:pPr>
        <w:numPr>
          <w:ilvl w:val="0"/>
          <w:numId w:val="2"/>
        </w:numPr>
        <w:snapToGrid w:val="0"/>
        <w:spacing w:line="360" w:lineRule="auto"/>
        <w:rPr>
          <w:rFonts w:ascii="宋体" w:hAnsi="宋体" w:cs="宋体"/>
          <w:color w:val="000000"/>
          <w:sz w:val="24"/>
        </w:rPr>
      </w:pPr>
      <w:r>
        <w:rPr>
          <w:rFonts w:hint="eastAsia" w:ascii="宋体" w:hAnsi="宋体" w:cs="宋体"/>
          <w:color w:val="000000"/>
          <w:sz w:val="24"/>
        </w:rPr>
        <w:t>《电子公文归档管理暂行办法》</w:t>
      </w:r>
    </w:p>
    <w:p>
      <w:pPr>
        <w:numPr>
          <w:ilvl w:val="0"/>
          <w:numId w:val="2"/>
        </w:numPr>
        <w:snapToGrid w:val="0"/>
        <w:spacing w:line="360" w:lineRule="auto"/>
        <w:rPr>
          <w:rFonts w:ascii="宋体" w:hAnsi="宋体" w:cs="宋体"/>
          <w:color w:val="000000"/>
          <w:sz w:val="24"/>
        </w:rPr>
      </w:pPr>
      <w:r>
        <w:rPr>
          <w:rFonts w:hint="eastAsia" w:ascii="宋体" w:hAnsi="宋体" w:cs="宋体"/>
          <w:color w:val="000000"/>
          <w:sz w:val="24"/>
        </w:rPr>
        <w:t>《高等学校档案管理办法》中华人民共和国教育部27令。</w:t>
      </w:r>
    </w:p>
    <w:p>
      <w:pPr>
        <w:numPr>
          <w:ilvl w:val="0"/>
          <w:numId w:val="2"/>
        </w:numPr>
        <w:snapToGrid w:val="0"/>
        <w:spacing w:line="360" w:lineRule="auto"/>
        <w:rPr>
          <w:rFonts w:ascii="宋体" w:hAnsi="宋体" w:cs="宋体"/>
          <w:color w:val="000000"/>
          <w:sz w:val="24"/>
        </w:rPr>
      </w:pPr>
      <w:r>
        <w:rPr>
          <w:rFonts w:hint="eastAsia" w:ascii="宋体" w:hAnsi="宋体" w:cs="宋体"/>
          <w:color w:val="000000"/>
          <w:sz w:val="24"/>
        </w:rPr>
        <w:t>GB/T9704-1999《国家行政机关公文格式》</w:t>
      </w:r>
    </w:p>
    <w:p>
      <w:pPr>
        <w:numPr>
          <w:ilvl w:val="0"/>
          <w:numId w:val="2"/>
        </w:numPr>
        <w:snapToGrid w:val="0"/>
        <w:spacing w:line="360" w:lineRule="auto"/>
        <w:rPr>
          <w:rFonts w:ascii="宋体" w:hAnsi="宋体" w:cs="宋体"/>
          <w:color w:val="000000"/>
          <w:sz w:val="24"/>
        </w:rPr>
      </w:pPr>
      <w:r>
        <w:rPr>
          <w:rFonts w:hint="eastAsia" w:ascii="宋体" w:hAnsi="宋体" w:cs="宋体"/>
          <w:color w:val="000000"/>
          <w:sz w:val="24"/>
        </w:rPr>
        <w:t>GB/T 18894-2002 《电子文件归档与管理规范》</w:t>
      </w:r>
    </w:p>
    <w:p>
      <w:pPr>
        <w:numPr>
          <w:ilvl w:val="0"/>
          <w:numId w:val="2"/>
        </w:numPr>
        <w:snapToGrid w:val="0"/>
        <w:spacing w:line="360" w:lineRule="auto"/>
        <w:rPr>
          <w:rFonts w:ascii="宋体" w:hAnsi="宋体" w:cs="宋体"/>
          <w:color w:val="000000"/>
          <w:sz w:val="24"/>
        </w:rPr>
      </w:pPr>
      <w:r>
        <w:rPr>
          <w:rFonts w:hint="eastAsia" w:ascii="宋体" w:hAnsi="宋体" w:cs="宋体"/>
          <w:color w:val="000000"/>
          <w:sz w:val="24"/>
        </w:rPr>
        <w:t>GB/T 11821-2002 《照片档案管理规范》</w:t>
      </w:r>
    </w:p>
    <w:p>
      <w:pPr>
        <w:numPr>
          <w:ilvl w:val="0"/>
          <w:numId w:val="2"/>
        </w:numPr>
        <w:snapToGrid w:val="0"/>
        <w:spacing w:line="360" w:lineRule="auto"/>
        <w:rPr>
          <w:rFonts w:ascii="宋体" w:hAnsi="宋体" w:cs="宋体"/>
          <w:color w:val="000000"/>
          <w:sz w:val="24"/>
        </w:rPr>
      </w:pPr>
      <w:r>
        <w:rPr>
          <w:rFonts w:hint="eastAsia" w:ascii="宋体" w:hAnsi="宋体" w:cs="宋体"/>
          <w:color w:val="000000"/>
          <w:sz w:val="24"/>
        </w:rPr>
        <w:t>GB/T 15418-1994 《档案分类标引规则》</w:t>
      </w:r>
    </w:p>
    <w:p>
      <w:pPr>
        <w:numPr>
          <w:ilvl w:val="0"/>
          <w:numId w:val="2"/>
        </w:numPr>
        <w:snapToGrid w:val="0"/>
        <w:spacing w:line="360" w:lineRule="auto"/>
        <w:rPr>
          <w:rFonts w:ascii="宋体" w:hAnsi="宋体" w:cs="宋体"/>
          <w:color w:val="000000"/>
          <w:sz w:val="24"/>
        </w:rPr>
      </w:pPr>
      <w:r>
        <w:rPr>
          <w:rFonts w:hint="eastAsia" w:ascii="宋体" w:hAnsi="宋体" w:cs="宋体"/>
          <w:color w:val="000000"/>
          <w:sz w:val="24"/>
        </w:rPr>
        <w:t>GB/T 20163-2006 《中国档案机读目录格式》</w:t>
      </w:r>
    </w:p>
    <w:p>
      <w:pPr>
        <w:numPr>
          <w:ilvl w:val="0"/>
          <w:numId w:val="2"/>
        </w:numPr>
        <w:snapToGrid w:val="0"/>
        <w:spacing w:line="360" w:lineRule="auto"/>
        <w:rPr>
          <w:rFonts w:ascii="宋体" w:hAnsi="宋体" w:cs="宋体"/>
          <w:color w:val="000000"/>
          <w:sz w:val="24"/>
        </w:rPr>
      </w:pPr>
      <w:r>
        <w:rPr>
          <w:rFonts w:hint="eastAsia" w:ascii="宋体" w:hAnsi="宋体" w:cs="宋体"/>
          <w:color w:val="000000"/>
          <w:sz w:val="24"/>
        </w:rPr>
        <w:t>GB/T 20530-2006 《文献档案资料数字化工作导则》</w:t>
      </w:r>
    </w:p>
    <w:p>
      <w:pPr>
        <w:numPr>
          <w:ilvl w:val="0"/>
          <w:numId w:val="2"/>
        </w:numPr>
        <w:snapToGrid w:val="0"/>
        <w:spacing w:line="360" w:lineRule="auto"/>
        <w:rPr>
          <w:rFonts w:ascii="宋体" w:hAnsi="宋体" w:cs="宋体"/>
          <w:color w:val="000000"/>
          <w:sz w:val="24"/>
        </w:rPr>
      </w:pPr>
      <w:r>
        <w:rPr>
          <w:rFonts w:hint="eastAsia" w:ascii="宋体" w:hAnsi="宋体" w:cs="宋体"/>
          <w:color w:val="000000"/>
          <w:sz w:val="24"/>
        </w:rPr>
        <w:t>GB/T 13968-1992  《档案交接文据》</w:t>
      </w:r>
    </w:p>
    <w:p>
      <w:pPr>
        <w:numPr>
          <w:ilvl w:val="0"/>
          <w:numId w:val="2"/>
        </w:numPr>
        <w:snapToGrid w:val="0"/>
        <w:spacing w:line="360" w:lineRule="auto"/>
        <w:rPr>
          <w:rFonts w:ascii="宋体" w:hAnsi="宋体" w:cs="宋体"/>
          <w:color w:val="000000"/>
          <w:sz w:val="24"/>
        </w:rPr>
      </w:pPr>
      <w:r>
        <w:rPr>
          <w:rFonts w:hint="eastAsia" w:ascii="宋体" w:hAnsi="宋体" w:cs="宋体"/>
          <w:color w:val="000000"/>
          <w:sz w:val="24"/>
        </w:rPr>
        <w:t xml:space="preserve">GB/T17678.1-1999 《CAD 电子文件光盘存储、归档与档案管理要求》 </w:t>
      </w:r>
    </w:p>
    <w:p>
      <w:pPr>
        <w:numPr>
          <w:ilvl w:val="0"/>
          <w:numId w:val="2"/>
        </w:numPr>
        <w:snapToGrid w:val="0"/>
        <w:spacing w:line="360" w:lineRule="auto"/>
        <w:rPr>
          <w:rFonts w:ascii="宋体" w:hAnsi="宋体" w:cs="宋体"/>
          <w:color w:val="000000"/>
          <w:sz w:val="24"/>
        </w:rPr>
      </w:pPr>
      <w:r>
        <w:rPr>
          <w:rFonts w:hint="eastAsia" w:ascii="宋体" w:hAnsi="宋体" w:cs="宋体"/>
          <w:color w:val="000000"/>
          <w:sz w:val="24"/>
        </w:rPr>
        <w:t>DA/T 31-2005 《纸质档案数字化技术规范》</w:t>
      </w:r>
    </w:p>
    <w:p>
      <w:pPr>
        <w:numPr>
          <w:ilvl w:val="0"/>
          <w:numId w:val="2"/>
        </w:numPr>
        <w:snapToGrid w:val="0"/>
        <w:spacing w:line="360" w:lineRule="auto"/>
        <w:rPr>
          <w:rFonts w:ascii="宋体" w:hAnsi="宋体" w:cs="宋体"/>
          <w:color w:val="000000"/>
          <w:sz w:val="24"/>
        </w:rPr>
      </w:pPr>
      <w:r>
        <w:rPr>
          <w:rFonts w:hint="eastAsia" w:ascii="宋体" w:hAnsi="宋体" w:cs="宋体"/>
          <w:color w:val="000000"/>
          <w:sz w:val="24"/>
        </w:rPr>
        <w:t>DA/T 32-2005 《公务电子邮件归档与管理规则》</w:t>
      </w:r>
    </w:p>
    <w:p>
      <w:pPr>
        <w:numPr>
          <w:ilvl w:val="0"/>
          <w:numId w:val="2"/>
        </w:numPr>
        <w:snapToGrid w:val="0"/>
        <w:spacing w:line="360" w:lineRule="auto"/>
        <w:rPr>
          <w:rFonts w:ascii="宋体" w:hAnsi="宋体" w:cs="宋体"/>
          <w:color w:val="000000"/>
          <w:sz w:val="24"/>
        </w:rPr>
      </w:pPr>
      <w:r>
        <w:rPr>
          <w:rFonts w:hint="eastAsia" w:ascii="宋体" w:hAnsi="宋体" w:cs="宋体"/>
          <w:color w:val="000000"/>
          <w:sz w:val="24"/>
        </w:rPr>
        <w:t>DA/T 18-1999 《档案著录规则》</w:t>
      </w:r>
    </w:p>
    <w:p>
      <w:pPr>
        <w:numPr>
          <w:ilvl w:val="0"/>
          <w:numId w:val="2"/>
        </w:numPr>
        <w:snapToGrid w:val="0"/>
        <w:spacing w:line="360" w:lineRule="auto"/>
        <w:rPr>
          <w:rFonts w:ascii="宋体" w:hAnsi="宋体" w:cs="宋体"/>
          <w:color w:val="000000"/>
          <w:sz w:val="24"/>
        </w:rPr>
      </w:pPr>
      <w:r>
        <w:rPr>
          <w:rFonts w:hint="eastAsia" w:ascii="宋体" w:hAnsi="宋体" w:cs="宋体"/>
          <w:color w:val="000000"/>
          <w:sz w:val="24"/>
        </w:rPr>
        <w:t>DAT/T 19-1999 《档案主题标引规则》</w:t>
      </w:r>
    </w:p>
    <w:p>
      <w:pPr>
        <w:numPr>
          <w:ilvl w:val="0"/>
          <w:numId w:val="2"/>
        </w:numPr>
        <w:snapToGrid w:val="0"/>
        <w:spacing w:line="360" w:lineRule="auto"/>
        <w:rPr>
          <w:rFonts w:ascii="宋体" w:hAnsi="宋体" w:cs="宋体"/>
          <w:color w:val="000000"/>
          <w:sz w:val="24"/>
        </w:rPr>
      </w:pPr>
      <w:r>
        <w:rPr>
          <w:rFonts w:hint="eastAsia" w:ascii="宋体" w:hAnsi="宋体" w:cs="宋体"/>
          <w:color w:val="000000"/>
          <w:sz w:val="24"/>
        </w:rPr>
        <w:t>DA/T22-2000  《归档文件整理规则》</w:t>
      </w:r>
    </w:p>
    <w:p>
      <w:pPr>
        <w:numPr>
          <w:ilvl w:val="0"/>
          <w:numId w:val="2"/>
        </w:numPr>
        <w:snapToGrid w:val="0"/>
        <w:spacing w:line="360" w:lineRule="auto"/>
        <w:rPr>
          <w:rFonts w:ascii="宋体" w:hAnsi="宋体" w:cs="宋体"/>
          <w:color w:val="000000"/>
          <w:sz w:val="24"/>
        </w:rPr>
      </w:pPr>
      <w:r>
        <w:rPr>
          <w:rFonts w:hint="eastAsia" w:ascii="宋体" w:hAnsi="宋体" w:cs="宋体"/>
          <w:color w:val="000000"/>
          <w:sz w:val="24"/>
        </w:rPr>
        <w:t>DAT/T47-2009 《版式电子文件长期保持格式需要》</w:t>
      </w:r>
    </w:p>
    <w:p>
      <w:pPr>
        <w:numPr>
          <w:ilvl w:val="0"/>
          <w:numId w:val="2"/>
        </w:numPr>
        <w:snapToGrid w:val="0"/>
        <w:spacing w:line="360" w:lineRule="auto"/>
        <w:rPr>
          <w:rFonts w:ascii="宋体" w:hAnsi="宋体" w:cs="宋体"/>
          <w:color w:val="000000"/>
          <w:sz w:val="24"/>
        </w:rPr>
      </w:pPr>
      <w:r>
        <w:rPr>
          <w:rFonts w:hint="eastAsia" w:ascii="宋体" w:hAnsi="宋体" w:cs="宋体"/>
          <w:color w:val="000000"/>
          <w:sz w:val="24"/>
        </w:rPr>
        <w:t>《档案管理软件功能要求暂行规定》档办〔2000〕8号</w:t>
      </w:r>
    </w:p>
    <w:p>
      <w:pPr>
        <w:numPr>
          <w:ilvl w:val="0"/>
          <w:numId w:val="2"/>
        </w:numPr>
        <w:snapToGrid w:val="0"/>
        <w:spacing w:line="360" w:lineRule="auto"/>
        <w:rPr>
          <w:rFonts w:ascii="宋体" w:hAnsi="宋体" w:cs="宋体"/>
          <w:color w:val="000000"/>
          <w:sz w:val="24"/>
        </w:rPr>
      </w:pPr>
      <w:r>
        <w:rPr>
          <w:rFonts w:hint="eastAsia" w:ascii="宋体" w:hAnsi="宋体" w:cs="宋体"/>
          <w:sz w:val="24"/>
        </w:rPr>
        <w:t>CJJ/T117-2007《建设电子文件与电子档案管理规范》</w:t>
      </w:r>
    </w:p>
    <w:p>
      <w:pPr>
        <w:spacing w:line="360" w:lineRule="auto"/>
        <w:ind w:firstLine="480" w:firstLineChars="200"/>
        <w:rPr>
          <w:rFonts w:ascii="宋体" w:hAnsi="宋体" w:cs="宋体"/>
          <w:sz w:val="24"/>
        </w:rPr>
      </w:pPr>
    </w:p>
    <w:p>
      <w:pPr>
        <w:spacing w:line="360" w:lineRule="auto"/>
        <w:ind w:firstLine="482" w:firstLineChars="200"/>
        <w:rPr>
          <w:rFonts w:ascii="宋体" w:hAnsi="宋体" w:cs="宋体"/>
          <w:b/>
          <w:bCs/>
          <w:sz w:val="24"/>
        </w:rPr>
      </w:pPr>
      <w:r>
        <w:rPr>
          <w:rFonts w:hint="eastAsia" w:ascii="宋体" w:hAnsi="宋体" w:cs="宋体"/>
          <w:b/>
          <w:bCs/>
          <w:sz w:val="24"/>
        </w:rPr>
        <w:t>2技术和架构要求</w:t>
      </w:r>
    </w:p>
    <w:p>
      <w:pPr>
        <w:spacing w:line="360" w:lineRule="auto"/>
        <w:ind w:firstLine="482" w:firstLineChars="200"/>
        <w:rPr>
          <w:rFonts w:ascii="宋体" w:hAnsi="宋体" w:cs="宋体"/>
          <w:b/>
          <w:bCs/>
          <w:sz w:val="24"/>
        </w:rPr>
      </w:pPr>
      <w:r>
        <w:rPr>
          <w:rFonts w:hint="eastAsia" w:ascii="宋体" w:hAnsi="宋体" w:cs="宋体"/>
          <w:b/>
          <w:bCs/>
          <w:sz w:val="24"/>
        </w:rPr>
        <w:t>（1）系统架构要求</w:t>
      </w:r>
    </w:p>
    <w:p>
      <w:pPr>
        <w:spacing w:line="360" w:lineRule="auto"/>
        <w:ind w:firstLine="480" w:firstLineChars="200"/>
        <w:rPr>
          <w:rFonts w:ascii="宋体" w:hAnsi="宋体" w:cs="宋体"/>
          <w:sz w:val="24"/>
        </w:rPr>
      </w:pPr>
      <w:r>
        <w:rPr>
          <w:rFonts w:hint="eastAsia" w:ascii="宋体" w:hAnsi="宋体" w:cs="宋体"/>
          <w:sz w:val="24"/>
        </w:rPr>
        <w:t>系统框架采用B/S模式、分布式架构、前台采用html5技术，服务端可以部署在Windows、Linux操作系统中，支持跨系统迁移。客户端采用浏览器访问，支持IE、360浏览器、火狐和谷歌浏览器等常见浏览器。系统须预留接口，提供接口规范，支持业务扩展，支持与其他业务系统的系统对接。更先进的体系结构包括移动办公设计，智能检索利用为加分项。</w:t>
      </w:r>
    </w:p>
    <w:p>
      <w:pPr>
        <w:spacing w:before="100" w:beforeAutospacing="1" w:after="100" w:afterAutospacing="1" w:line="360" w:lineRule="exact"/>
        <w:ind w:left="840" w:leftChars="200" w:hanging="420"/>
        <w:jc w:val="left"/>
        <w:rPr>
          <w:rFonts w:ascii="宋体" w:hAnsi="宋体" w:cs="宋体"/>
          <w:b/>
          <w:bCs/>
          <w:color w:val="000000"/>
          <w:sz w:val="24"/>
        </w:rPr>
      </w:pPr>
      <w:r>
        <w:rPr>
          <w:rFonts w:hint="eastAsia" w:ascii="宋体" w:hAnsi="宋体" w:cs="宋体"/>
          <w:b/>
          <w:bCs/>
          <w:color w:val="000000"/>
          <w:sz w:val="24"/>
        </w:rPr>
        <w:t>（2）软件系统性能</w:t>
      </w:r>
    </w:p>
    <w:p>
      <w:pPr>
        <w:numPr>
          <w:ilvl w:val="0"/>
          <w:numId w:val="3"/>
        </w:numPr>
        <w:spacing w:before="100" w:beforeAutospacing="1" w:after="100" w:afterAutospacing="1" w:line="360" w:lineRule="auto"/>
        <w:ind w:left="562"/>
        <w:rPr>
          <w:rFonts w:ascii="宋体" w:hAnsi="宋体" w:cs="宋体"/>
          <w:color w:val="000000"/>
          <w:sz w:val="24"/>
        </w:rPr>
      </w:pPr>
      <w:r>
        <w:rPr>
          <w:rFonts w:hint="eastAsia" w:ascii="宋体" w:hAnsi="宋体" w:cs="宋体"/>
          <w:color w:val="000000"/>
          <w:sz w:val="24"/>
        </w:rPr>
        <w:t>档案业务管理平台支持并发用户数 &gt; 200人 ；</w:t>
      </w:r>
    </w:p>
    <w:p>
      <w:pPr>
        <w:numPr>
          <w:ilvl w:val="0"/>
          <w:numId w:val="3"/>
        </w:numPr>
        <w:spacing w:before="100" w:beforeAutospacing="1" w:after="100" w:afterAutospacing="1" w:line="360" w:lineRule="auto"/>
        <w:ind w:left="562"/>
        <w:rPr>
          <w:rFonts w:ascii="宋体" w:hAnsi="宋体" w:cs="宋体"/>
          <w:color w:val="000000"/>
          <w:sz w:val="24"/>
        </w:rPr>
      </w:pPr>
      <w:r>
        <w:rPr>
          <w:rFonts w:hint="eastAsia" w:ascii="宋体" w:hAnsi="宋体" w:cs="宋体"/>
          <w:color w:val="000000"/>
          <w:sz w:val="24"/>
        </w:rPr>
        <w:t>系统响应时间：百万数据量带全文，检索客户端响应时间&lt;2秒；</w:t>
      </w:r>
    </w:p>
    <w:p>
      <w:pPr>
        <w:numPr>
          <w:ilvl w:val="0"/>
          <w:numId w:val="3"/>
        </w:numPr>
        <w:spacing w:before="100" w:beforeAutospacing="1" w:after="100" w:afterAutospacing="1" w:line="360" w:lineRule="auto"/>
        <w:ind w:left="562"/>
        <w:rPr>
          <w:rFonts w:ascii="宋体" w:hAnsi="宋体" w:cs="宋体"/>
          <w:color w:val="000000"/>
          <w:sz w:val="24"/>
        </w:rPr>
      </w:pPr>
      <w:r>
        <w:rPr>
          <w:rFonts w:hint="eastAsia" w:ascii="宋体" w:hAnsi="宋体" w:cs="宋体"/>
          <w:color w:val="000000"/>
          <w:sz w:val="24"/>
        </w:rPr>
        <w:t>系统有效工作时间≥99％；</w:t>
      </w:r>
    </w:p>
    <w:p>
      <w:pPr>
        <w:numPr>
          <w:ilvl w:val="0"/>
          <w:numId w:val="3"/>
        </w:numPr>
        <w:spacing w:before="100" w:beforeAutospacing="1" w:after="100" w:afterAutospacing="1" w:line="360" w:lineRule="auto"/>
        <w:ind w:left="562"/>
        <w:rPr>
          <w:rFonts w:ascii="宋体" w:hAnsi="宋体" w:cs="宋体"/>
          <w:color w:val="000000"/>
          <w:sz w:val="24"/>
        </w:rPr>
      </w:pPr>
      <w:r>
        <w:rPr>
          <w:rFonts w:hint="eastAsia" w:ascii="宋体" w:hAnsi="宋体" w:cs="宋体"/>
          <w:color w:val="000000"/>
          <w:sz w:val="24"/>
        </w:rPr>
        <w:t>系统平均无故障运行时间&gt; 5000小时；</w:t>
      </w:r>
    </w:p>
    <w:p>
      <w:pPr>
        <w:numPr>
          <w:ilvl w:val="0"/>
          <w:numId w:val="3"/>
        </w:numPr>
        <w:spacing w:before="100" w:beforeAutospacing="1" w:after="100" w:afterAutospacing="1" w:line="360" w:lineRule="auto"/>
        <w:ind w:left="562"/>
        <w:rPr>
          <w:rFonts w:ascii="宋体" w:hAnsi="宋体" w:cs="宋体"/>
          <w:color w:val="000000"/>
          <w:sz w:val="24"/>
        </w:rPr>
      </w:pPr>
      <w:r>
        <w:rPr>
          <w:rFonts w:hint="eastAsia" w:ascii="宋体" w:hAnsi="宋体" w:cs="宋体"/>
          <w:color w:val="000000"/>
          <w:sz w:val="24"/>
        </w:rPr>
        <w:t>系统恢复时间&lt; 4小时；</w:t>
      </w:r>
    </w:p>
    <w:p>
      <w:pPr>
        <w:numPr>
          <w:ilvl w:val="0"/>
          <w:numId w:val="3"/>
        </w:numPr>
        <w:spacing w:before="100" w:beforeAutospacing="1" w:after="100" w:afterAutospacing="1" w:line="360" w:lineRule="auto"/>
        <w:ind w:left="562"/>
        <w:rPr>
          <w:rFonts w:ascii="宋体" w:hAnsi="宋体" w:cs="宋体"/>
          <w:color w:val="000000"/>
          <w:sz w:val="24"/>
        </w:rPr>
      </w:pPr>
      <w:r>
        <w:rPr>
          <w:rFonts w:hint="eastAsia" w:ascii="宋体" w:hAnsi="宋体" w:cs="宋体"/>
          <w:color w:val="000000"/>
          <w:sz w:val="24"/>
        </w:rPr>
        <w:t>数据导入导出能力：每批次导入（导出）数据量能承载百万条以上；如果发生错误，允许重新导入（导出）；</w:t>
      </w:r>
    </w:p>
    <w:p>
      <w:pPr>
        <w:numPr>
          <w:ilvl w:val="0"/>
          <w:numId w:val="3"/>
        </w:numPr>
        <w:spacing w:before="100" w:beforeAutospacing="1" w:after="100" w:afterAutospacing="1" w:line="360" w:lineRule="auto"/>
        <w:ind w:left="562"/>
        <w:rPr>
          <w:rFonts w:ascii="宋体" w:hAnsi="宋体" w:cs="宋体"/>
          <w:color w:val="000000"/>
          <w:sz w:val="24"/>
        </w:rPr>
      </w:pPr>
      <w:r>
        <w:rPr>
          <w:rFonts w:hint="eastAsia" w:ascii="宋体" w:hAnsi="宋体" w:cs="宋体"/>
          <w:color w:val="000000"/>
          <w:sz w:val="24"/>
        </w:rPr>
        <w:t>因特殊原因导致的系统性能问题，最后性能的验收以用户的可接受度为标准；</w:t>
      </w:r>
    </w:p>
    <w:p>
      <w:pPr>
        <w:spacing w:before="100" w:beforeAutospacing="1" w:after="100" w:afterAutospacing="1" w:line="360" w:lineRule="exact"/>
        <w:ind w:left="840" w:leftChars="200" w:hanging="420"/>
        <w:jc w:val="left"/>
        <w:rPr>
          <w:rFonts w:ascii="宋体" w:hAnsi="宋体" w:cs="宋体"/>
          <w:b/>
          <w:bCs/>
          <w:color w:val="000000"/>
          <w:sz w:val="24"/>
        </w:rPr>
      </w:pPr>
      <w:r>
        <w:rPr>
          <w:rFonts w:hint="eastAsia" w:ascii="宋体" w:hAnsi="宋体" w:cs="宋体"/>
          <w:b/>
          <w:bCs/>
          <w:color w:val="000000"/>
          <w:sz w:val="24"/>
        </w:rPr>
        <w:t>（3）软件系统安全要求</w:t>
      </w:r>
    </w:p>
    <w:p>
      <w:pPr>
        <w:numPr>
          <w:ilvl w:val="0"/>
          <w:numId w:val="4"/>
        </w:numPr>
        <w:spacing w:before="100" w:beforeAutospacing="1" w:after="100" w:afterAutospacing="1" w:line="360" w:lineRule="auto"/>
        <w:rPr>
          <w:rFonts w:ascii="宋体" w:hAnsi="宋体" w:cs="宋体"/>
          <w:color w:val="000000"/>
          <w:sz w:val="24"/>
        </w:rPr>
      </w:pPr>
      <w:r>
        <w:rPr>
          <w:rFonts w:hint="eastAsia" w:ascii="宋体" w:hAnsi="宋体" w:cs="宋体"/>
          <w:color w:val="000000"/>
          <w:sz w:val="24"/>
        </w:rPr>
        <w:t>提供用户管理、权限管理、统一认证等具体安全功能；</w:t>
      </w:r>
    </w:p>
    <w:p>
      <w:pPr>
        <w:numPr>
          <w:ilvl w:val="0"/>
          <w:numId w:val="4"/>
        </w:numPr>
        <w:spacing w:before="100" w:beforeAutospacing="1" w:after="100" w:afterAutospacing="1" w:line="360" w:lineRule="auto"/>
        <w:rPr>
          <w:rFonts w:ascii="宋体" w:hAnsi="宋体" w:cs="宋体"/>
          <w:color w:val="000000"/>
          <w:sz w:val="24"/>
        </w:rPr>
      </w:pPr>
      <w:r>
        <w:rPr>
          <w:rFonts w:hint="eastAsia" w:ascii="宋体" w:hAnsi="宋体" w:cs="宋体"/>
          <w:color w:val="000000"/>
          <w:sz w:val="24"/>
        </w:rPr>
        <w:t>对系统开发和维护人员无意造成数据信息破坏的情况，应给予必要的防范措施，并将直接操作数据库信息权限限制在最小范围；</w:t>
      </w:r>
    </w:p>
    <w:p>
      <w:pPr>
        <w:numPr>
          <w:ilvl w:val="0"/>
          <w:numId w:val="4"/>
        </w:numPr>
        <w:spacing w:before="100" w:beforeAutospacing="1" w:after="100" w:afterAutospacing="1" w:line="360" w:lineRule="auto"/>
        <w:rPr>
          <w:rFonts w:ascii="宋体" w:hAnsi="宋体" w:cs="宋体"/>
          <w:color w:val="000000"/>
          <w:sz w:val="24"/>
        </w:rPr>
      </w:pPr>
      <w:r>
        <w:rPr>
          <w:rFonts w:hint="eastAsia" w:ascii="宋体" w:hAnsi="宋体" w:cs="宋体"/>
          <w:color w:val="000000"/>
          <w:sz w:val="24"/>
        </w:rPr>
        <w:t>能对所有的操作进行追踪调查并详细记录，具有日志记录和审查功能；</w:t>
      </w:r>
    </w:p>
    <w:p>
      <w:pPr>
        <w:numPr>
          <w:ilvl w:val="0"/>
          <w:numId w:val="4"/>
        </w:numPr>
        <w:spacing w:before="100" w:beforeAutospacing="1" w:after="100" w:afterAutospacing="1" w:line="360" w:lineRule="auto"/>
        <w:rPr>
          <w:rFonts w:ascii="宋体" w:hAnsi="宋体" w:cs="宋体"/>
          <w:color w:val="000000"/>
          <w:sz w:val="24"/>
        </w:rPr>
      </w:pPr>
      <w:r>
        <w:rPr>
          <w:rFonts w:hint="eastAsia" w:ascii="宋体" w:hAnsi="宋体" w:cs="宋体"/>
          <w:color w:val="000000"/>
          <w:sz w:val="24"/>
        </w:rPr>
        <w:t>提供多样式的数据安全备份，支持按类、年度等方式进行后台数据的刻盘备份；</w:t>
      </w:r>
    </w:p>
    <w:p>
      <w:pPr>
        <w:numPr>
          <w:ilvl w:val="0"/>
          <w:numId w:val="4"/>
        </w:numPr>
        <w:spacing w:before="100" w:beforeAutospacing="1" w:after="100" w:afterAutospacing="1" w:line="360" w:lineRule="auto"/>
        <w:rPr>
          <w:rFonts w:ascii="宋体" w:hAnsi="宋体" w:cs="宋体"/>
          <w:color w:val="000000"/>
          <w:sz w:val="24"/>
        </w:rPr>
      </w:pPr>
      <w:r>
        <w:rPr>
          <w:rFonts w:hint="eastAsia" w:ascii="宋体" w:hAnsi="宋体" w:cs="宋体"/>
          <w:color w:val="000000"/>
          <w:sz w:val="24"/>
        </w:rPr>
        <w:t>系统应具备较强的数据独立性，确保档案数据的安全迁移及有效利用。</w:t>
      </w:r>
    </w:p>
    <w:p>
      <w:pPr>
        <w:numPr>
          <w:ilvl w:val="0"/>
          <w:numId w:val="4"/>
        </w:numPr>
        <w:spacing w:before="100" w:beforeAutospacing="1" w:after="100" w:afterAutospacing="1" w:line="360" w:lineRule="auto"/>
        <w:rPr>
          <w:rFonts w:ascii="宋体" w:hAnsi="宋体" w:cs="宋体"/>
          <w:sz w:val="24"/>
        </w:rPr>
      </w:pPr>
      <w:r>
        <w:rPr>
          <w:rFonts w:hint="eastAsia" w:ascii="宋体" w:hAnsi="宋体" w:cs="宋体"/>
          <w:sz w:val="24"/>
        </w:rPr>
        <w:t>系统浏览原文时可控制文件的下载、打印、动态水印显示、防截屏等功能。</w:t>
      </w:r>
    </w:p>
    <w:p>
      <w:pPr>
        <w:spacing w:line="360" w:lineRule="auto"/>
        <w:ind w:firstLine="482" w:firstLineChars="200"/>
        <w:rPr>
          <w:rFonts w:ascii="宋体" w:hAnsi="宋体" w:cs="宋体"/>
          <w:b/>
          <w:bCs/>
          <w:sz w:val="24"/>
        </w:rPr>
      </w:pPr>
      <w:r>
        <w:rPr>
          <w:rFonts w:hint="eastAsia" w:ascii="宋体" w:hAnsi="宋体" w:cs="宋体"/>
          <w:b/>
          <w:bCs/>
          <w:sz w:val="24"/>
        </w:rPr>
        <w:t>（4）系统兼容性要求</w:t>
      </w:r>
    </w:p>
    <w:p>
      <w:pPr>
        <w:spacing w:line="360" w:lineRule="auto"/>
        <w:ind w:firstLine="480" w:firstLineChars="200"/>
        <w:rPr>
          <w:rFonts w:ascii="宋体" w:hAnsi="宋体" w:cs="宋体"/>
          <w:sz w:val="24"/>
        </w:rPr>
      </w:pPr>
      <w:r>
        <w:rPr>
          <w:rFonts w:hint="eastAsia" w:ascii="宋体" w:hAnsi="宋体" w:cs="宋体"/>
          <w:sz w:val="24"/>
        </w:rPr>
        <w:t>投标人负责将系统与学校的OA办公系统对接，实现文档一体化操作；投标人负责调试整合档案管理系统与学校现有的身份认证系统，基于身份认证实现实名的、分权的在线档案利用服务。</w:t>
      </w:r>
    </w:p>
    <w:p>
      <w:pPr>
        <w:spacing w:line="360" w:lineRule="auto"/>
        <w:ind w:firstLine="482" w:firstLineChars="200"/>
        <w:rPr>
          <w:rFonts w:ascii="宋体" w:hAnsi="宋体" w:cs="宋体"/>
          <w:b/>
          <w:bCs/>
          <w:sz w:val="24"/>
        </w:rPr>
      </w:pPr>
      <w:r>
        <w:rPr>
          <w:rFonts w:hint="eastAsia" w:ascii="宋体" w:hAnsi="宋体" w:cs="宋体"/>
          <w:b/>
          <w:bCs/>
          <w:sz w:val="24"/>
        </w:rPr>
        <w:t>（5）系统扩展性要求。</w:t>
      </w:r>
    </w:p>
    <w:p>
      <w:pPr>
        <w:spacing w:line="360" w:lineRule="auto"/>
        <w:ind w:firstLine="480" w:firstLineChars="200"/>
        <w:rPr>
          <w:rFonts w:ascii="宋体" w:hAnsi="宋体" w:cs="宋体"/>
          <w:sz w:val="24"/>
        </w:rPr>
      </w:pPr>
      <w:r>
        <w:rPr>
          <w:rFonts w:hint="eastAsia" w:ascii="宋体" w:hAnsi="宋体" w:cs="宋体"/>
          <w:sz w:val="24"/>
        </w:rPr>
        <w:t>随着学校的快速发展，学校的组织机构、OA办件流程等，会根据工作需要作出相应调整，要求系统应具有良好的动态性与可扩展性，能够作相应的动态修改、扩充和调整，并保证调整前后应用过渡的平稳性。</w:t>
      </w:r>
    </w:p>
    <w:p>
      <w:pPr>
        <w:spacing w:before="100" w:beforeAutospacing="1" w:after="100" w:afterAutospacing="1" w:line="360" w:lineRule="exact"/>
        <w:ind w:left="840" w:leftChars="200" w:hanging="420"/>
        <w:jc w:val="left"/>
        <w:rPr>
          <w:rFonts w:ascii="宋体" w:hAnsi="宋体" w:cs="Calibri"/>
          <w:b/>
          <w:bCs/>
          <w:color w:val="000000"/>
          <w:sz w:val="24"/>
        </w:rPr>
      </w:pPr>
      <w:r>
        <w:rPr>
          <w:rFonts w:hint="eastAsia" w:ascii="宋体" w:hAnsi="宋体" w:cs="Calibri"/>
          <w:b/>
          <w:bCs/>
          <w:color w:val="000000"/>
          <w:sz w:val="24"/>
        </w:rPr>
        <w:t>（二）系统功能描述</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系统主要模块包含：综合档案业务管理系统、网站设计及信息发布系统、声像档案管理系统、学籍档案管理系统、成绩翻译及认证管理系统、财务管理系统、远程预约利用服务系统、校园网新闻采集系统、和数据共享平台集成实现教务、学工、OA系统数据共享互通、单点登录集成。</w:t>
      </w:r>
    </w:p>
    <w:p>
      <w:pPr>
        <w:spacing w:line="360" w:lineRule="auto"/>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1.档案综合业务管理</w:t>
      </w:r>
    </w:p>
    <w:p>
      <w:pPr>
        <w:spacing w:line="360" w:lineRule="auto"/>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（1）电子文件归档功能</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应用单点登录的方式，与学校OA系统对接，实现下列功能：</w:t>
      </w:r>
    </w:p>
    <w:p>
      <w:pPr>
        <w:numPr>
          <w:ilvl w:val="0"/>
          <w:numId w:val="5"/>
        </w:numPr>
        <w:spacing w:line="360" w:lineRule="auto"/>
        <w:rPr>
          <w:rFonts w:asciiTheme="minorEastAsia" w:hAnsiTheme="minorEastAsia" w:eastAsiaTheme="minorEastAsia"/>
          <w:sz w:val="24"/>
        </w:rPr>
      </w:pPr>
      <w:r>
        <w:rPr>
          <w:rFonts w:hint="eastAsia" w:asciiTheme="minorEastAsia" w:hAnsiTheme="minorEastAsia" w:eastAsiaTheme="minorEastAsia"/>
          <w:sz w:val="24"/>
        </w:rPr>
        <w:t>发文预归档。学校OA系统里有6个发文途径。当发文发生时，根据承办单位等相关字段，直接实现预归档。</w:t>
      </w:r>
    </w:p>
    <w:p>
      <w:pPr>
        <w:numPr>
          <w:ilvl w:val="0"/>
          <w:numId w:val="5"/>
        </w:numPr>
        <w:spacing w:line="360" w:lineRule="auto"/>
        <w:rPr>
          <w:rFonts w:asciiTheme="minorEastAsia" w:hAnsiTheme="minorEastAsia" w:eastAsiaTheme="minorEastAsia"/>
          <w:sz w:val="24"/>
        </w:rPr>
      </w:pPr>
      <w:r>
        <w:rPr>
          <w:rFonts w:hint="eastAsia" w:asciiTheme="minorEastAsia" w:hAnsiTheme="minorEastAsia" w:eastAsiaTheme="minorEastAsia"/>
          <w:sz w:val="24"/>
        </w:rPr>
        <w:t>收文预归档。对于上级文件来文，在OA系统办结之前，根据部门办理情况，将文件进行预归档。文件办理过程中产生的材料（文字、图片、表格等），由各部门档案员作为附件上传系统。</w:t>
      </w:r>
    </w:p>
    <w:p>
      <w:pPr>
        <w:numPr>
          <w:ilvl w:val="0"/>
          <w:numId w:val="5"/>
        </w:numPr>
        <w:spacing w:line="360" w:lineRule="auto"/>
        <w:rPr>
          <w:rFonts w:asciiTheme="minorEastAsia" w:hAnsiTheme="minorEastAsia" w:eastAsiaTheme="minorEastAsia"/>
          <w:sz w:val="24"/>
        </w:rPr>
      </w:pPr>
      <w:r>
        <w:rPr>
          <w:rFonts w:hint="eastAsia" w:asciiTheme="minorEastAsia" w:hAnsiTheme="minorEastAsia" w:eastAsiaTheme="minorEastAsia"/>
          <w:sz w:val="24"/>
        </w:rPr>
        <w:t>账外文件预归档。对于非OA系统产生或流转的、各种载体的重要资料，各业务部门档案员可以主动鉴定、上传、预归档。</w:t>
      </w:r>
    </w:p>
    <w:p>
      <w:pPr>
        <w:numPr>
          <w:ilvl w:val="0"/>
          <w:numId w:val="5"/>
        </w:numPr>
        <w:spacing w:line="360" w:lineRule="auto"/>
        <w:rPr>
          <w:rFonts w:asciiTheme="minorEastAsia" w:hAnsiTheme="minorEastAsia" w:eastAsiaTheme="minorEastAsia"/>
          <w:sz w:val="24"/>
        </w:rPr>
      </w:pPr>
      <w:r>
        <w:rPr>
          <w:rFonts w:hint="eastAsia" w:asciiTheme="minorEastAsia" w:hAnsiTheme="minorEastAsia" w:eastAsiaTheme="minorEastAsia"/>
          <w:sz w:val="24"/>
        </w:rPr>
        <w:t>各种载体档案归档。具备自动或者手动接收采集照片、录音、录像等不同类型电子文件功能，能够做到与相关的电子文件形成逻辑联系，并记录好元数据。针对录音、录像等大文件系统应当支持断点续传功能、格式自动转换功能。</w:t>
      </w:r>
    </w:p>
    <w:p>
      <w:pPr>
        <w:numPr>
          <w:ilvl w:val="0"/>
          <w:numId w:val="5"/>
        </w:numPr>
        <w:spacing w:line="360" w:lineRule="auto"/>
        <w:rPr>
          <w:rFonts w:asciiTheme="minorEastAsia" w:hAnsiTheme="minorEastAsia" w:eastAsiaTheme="minorEastAsia"/>
          <w:sz w:val="24"/>
        </w:rPr>
      </w:pPr>
      <w:r>
        <w:rPr>
          <w:rFonts w:hint="eastAsia" w:asciiTheme="minorEastAsia" w:hAnsiTheme="minorEastAsia" w:eastAsiaTheme="minorEastAsia"/>
          <w:sz w:val="24"/>
        </w:rPr>
        <w:t>各部门档案管理。各部门档案员，可以利用系统构建本部门的虚拟档案资料库，方便本部门档案资料的管理、利用。</w:t>
      </w:r>
    </w:p>
    <w:p>
      <w:pPr>
        <w:spacing w:line="360" w:lineRule="auto"/>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（2）分类编目功能</w:t>
      </w:r>
    </w:p>
    <w:p>
      <w:pPr>
        <w:numPr>
          <w:ilvl w:val="0"/>
          <w:numId w:val="5"/>
        </w:numPr>
        <w:spacing w:line="360" w:lineRule="auto"/>
        <w:rPr>
          <w:rFonts w:asciiTheme="minorEastAsia" w:hAnsiTheme="minorEastAsia" w:eastAsiaTheme="minorEastAsia"/>
          <w:sz w:val="24"/>
        </w:rPr>
      </w:pPr>
      <w:r>
        <w:rPr>
          <w:rFonts w:hint="eastAsia" w:asciiTheme="minorEastAsia" w:hAnsiTheme="minorEastAsia" w:eastAsiaTheme="minorEastAsia"/>
          <w:sz w:val="24"/>
        </w:rPr>
        <w:t>系统具备建立、管理本单位档案分类方案、保管期限处置表功能，支持分密级管理，支持电子文件的分类、编目、命名和存储，完成电子文件的归档保存，辅助完成纸质等传统载体文件的分类、编目功能。</w:t>
      </w:r>
    </w:p>
    <w:p>
      <w:pPr>
        <w:numPr>
          <w:ilvl w:val="0"/>
          <w:numId w:val="5"/>
        </w:numPr>
        <w:spacing w:line="360" w:lineRule="auto"/>
        <w:rPr>
          <w:rFonts w:asciiTheme="minorEastAsia" w:hAnsiTheme="minorEastAsia" w:eastAsiaTheme="minorEastAsia"/>
          <w:sz w:val="24"/>
        </w:rPr>
      </w:pPr>
      <w:r>
        <w:rPr>
          <w:rFonts w:hint="eastAsia" w:asciiTheme="minorEastAsia" w:hAnsiTheme="minorEastAsia" w:eastAsiaTheme="minorEastAsia"/>
          <w:sz w:val="24"/>
        </w:rPr>
        <w:t>系统应该能够按照分类方案、元数据方案对电子文件进行分类和元数据自动采集，根据权限手工著录、修改电子文件实体元数据，并具备辅助传统载体归档文件分类、著录功能。</w:t>
      </w:r>
    </w:p>
    <w:p>
      <w:pPr>
        <w:numPr>
          <w:ilvl w:val="0"/>
          <w:numId w:val="5"/>
        </w:numPr>
        <w:spacing w:line="360" w:lineRule="auto"/>
        <w:rPr>
          <w:rFonts w:asciiTheme="minorEastAsia" w:hAnsiTheme="minorEastAsia" w:eastAsiaTheme="minorEastAsia"/>
          <w:sz w:val="24"/>
        </w:rPr>
      </w:pPr>
      <w:r>
        <w:rPr>
          <w:rFonts w:hint="eastAsia" w:asciiTheme="minorEastAsia" w:hAnsiTheme="minorEastAsia" w:eastAsiaTheme="minorEastAsia"/>
          <w:sz w:val="24"/>
        </w:rPr>
        <w:t>系统应具备档案资源的删除与回收功能，档案资源回收后应确保电子档案及其组件与元数据的关联功能。</w:t>
      </w:r>
    </w:p>
    <w:p>
      <w:pPr>
        <w:numPr>
          <w:ilvl w:val="0"/>
          <w:numId w:val="5"/>
        </w:numPr>
        <w:spacing w:line="360" w:lineRule="auto"/>
        <w:rPr>
          <w:rFonts w:asciiTheme="minorEastAsia" w:hAnsiTheme="minorEastAsia" w:eastAsiaTheme="minorEastAsia"/>
          <w:sz w:val="24"/>
        </w:rPr>
      </w:pPr>
      <w:r>
        <w:rPr>
          <w:rFonts w:hint="eastAsia" w:asciiTheme="minorEastAsia" w:hAnsiTheme="minorEastAsia" w:eastAsiaTheme="minorEastAsia"/>
          <w:sz w:val="24"/>
        </w:rPr>
        <w:t>应具备对归档电子文件自动或手动进行OFD或PDF等版本文件转换功能，并具备对电子档案各组件进行签名功能。</w:t>
      </w:r>
    </w:p>
    <w:p>
      <w:pPr>
        <w:numPr>
          <w:ilvl w:val="0"/>
          <w:numId w:val="5"/>
        </w:numPr>
        <w:spacing w:line="360" w:lineRule="auto"/>
        <w:rPr>
          <w:rFonts w:asciiTheme="minorEastAsia" w:hAnsiTheme="minorEastAsia" w:eastAsiaTheme="minorEastAsia"/>
          <w:sz w:val="24"/>
        </w:rPr>
      </w:pPr>
      <w:r>
        <w:rPr>
          <w:rFonts w:hint="eastAsia" w:asciiTheme="minorEastAsia" w:hAnsiTheme="minorEastAsia" w:eastAsiaTheme="minorEastAsia"/>
          <w:sz w:val="24"/>
        </w:rPr>
        <w:t>系统应具备依据档号等带有语义信息的唯一标识符自动、逐级建立并命名电子档案内容存储文件夹功能，确保电子档案存储文件夹与元数据的唯一关联。</w:t>
      </w:r>
    </w:p>
    <w:p>
      <w:pPr>
        <w:numPr>
          <w:ilvl w:val="0"/>
          <w:numId w:val="5"/>
        </w:numPr>
        <w:spacing w:line="360" w:lineRule="auto"/>
        <w:rPr>
          <w:rFonts w:asciiTheme="minorEastAsia" w:hAnsiTheme="minorEastAsia" w:eastAsiaTheme="minorEastAsia"/>
          <w:sz w:val="24"/>
        </w:rPr>
      </w:pPr>
      <w:r>
        <w:rPr>
          <w:rFonts w:hint="eastAsia" w:asciiTheme="minorEastAsia" w:hAnsiTheme="minorEastAsia" w:eastAsiaTheme="minorEastAsia"/>
          <w:sz w:val="24"/>
        </w:rPr>
        <w:t>系统应具备自动编制电子档案归档文件目录、案卷目录、卷内文件目录功能。</w:t>
      </w:r>
    </w:p>
    <w:p>
      <w:pPr>
        <w:spacing w:line="360" w:lineRule="auto"/>
        <w:ind w:firstLine="482" w:firstLineChars="200"/>
        <w:rPr>
          <w:rFonts w:asciiTheme="minorEastAsia" w:hAnsiTheme="minorEastAsia" w:eastAsiaTheme="minorEastAsia"/>
          <w:b/>
          <w:bCs/>
          <w:sz w:val="24"/>
        </w:rPr>
      </w:pPr>
      <w:r>
        <w:rPr>
          <w:rFonts w:hint="eastAsia" w:ascii="宋体" w:hAnsi="宋体" w:cs="宋体" w:eastAsiaTheme="minorEastAsia"/>
          <w:b/>
          <w:bCs/>
          <w:sz w:val="24"/>
        </w:rPr>
        <w:t>（3）</w:t>
      </w:r>
      <w:r>
        <w:rPr>
          <w:rFonts w:hint="eastAsia" w:asciiTheme="minorEastAsia" w:hAnsiTheme="minorEastAsia" w:eastAsiaTheme="minorEastAsia"/>
          <w:b/>
          <w:bCs/>
          <w:sz w:val="24"/>
        </w:rPr>
        <w:t>档案数字化加工和OCR识别</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系统可以对馆藏档案资料进行数字化加工，即对纸质档案扫描和实物档案数码拍摄后形成的图像文件进行处理和存储，并对应原纸质档案或实物档案的题录信息进行挂接。系统可以进行OCR识别功能，方便进行全文检索。</w:t>
      </w:r>
    </w:p>
    <w:p>
      <w:pPr>
        <w:spacing w:line="360" w:lineRule="auto"/>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学校档案数字化完成后，投标方负责将数据挂入档案管理系统。</w:t>
      </w:r>
    </w:p>
    <w:p>
      <w:pPr>
        <w:spacing w:line="360" w:lineRule="auto"/>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（4） 档案信息利用</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为档案管理人员提供档案利用管理手段，为使用单位、用户提供各种档案信息利用服务。功能应包括档案编研、光盘备份和利用、综合查询、借阅管理、消息提醒。与档案信息发布系统集成，可以对开放的档案编研信息进行自动发布。</w:t>
      </w:r>
    </w:p>
    <w:p>
      <w:pPr>
        <w:numPr>
          <w:ilvl w:val="0"/>
          <w:numId w:val="5"/>
        </w:numPr>
        <w:spacing w:line="360" w:lineRule="auto"/>
        <w:rPr>
          <w:rFonts w:asciiTheme="minorEastAsia" w:hAnsiTheme="minorEastAsia" w:eastAsiaTheme="minorEastAsia"/>
          <w:sz w:val="24"/>
        </w:rPr>
      </w:pPr>
      <w:r>
        <w:rPr>
          <w:rFonts w:hint="eastAsia" w:asciiTheme="minorEastAsia" w:hAnsiTheme="minorEastAsia" w:eastAsiaTheme="minorEastAsia"/>
          <w:sz w:val="24"/>
        </w:rPr>
        <w:t>档案编研：档案编研模块可使档案业务人员对档案内容进行二次加工，编辑选定的档案内容汇编成册，为档案的深入研究和广泛利用提供素材。</w:t>
      </w:r>
    </w:p>
    <w:p>
      <w:pPr>
        <w:numPr>
          <w:ilvl w:val="0"/>
          <w:numId w:val="5"/>
        </w:numPr>
        <w:spacing w:line="360" w:lineRule="auto"/>
        <w:rPr>
          <w:rFonts w:asciiTheme="minorEastAsia" w:hAnsiTheme="minorEastAsia" w:eastAsiaTheme="minorEastAsia"/>
          <w:sz w:val="24"/>
        </w:rPr>
      </w:pPr>
      <w:r>
        <w:rPr>
          <w:rFonts w:hint="eastAsia" w:asciiTheme="minorEastAsia" w:hAnsiTheme="minorEastAsia" w:eastAsiaTheme="minorEastAsia"/>
          <w:sz w:val="24"/>
        </w:rPr>
        <w:t>目录查询：针对档案目录进行查询，可检索项目包括题名、责任者、时间、保管期限、密级等。</w:t>
      </w:r>
    </w:p>
    <w:p>
      <w:pPr>
        <w:numPr>
          <w:ilvl w:val="0"/>
          <w:numId w:val="5"/>
        </w:numPr>
        <w:spacing w:line="360" w:lineRule="auto"/>
        <w:rPr>
          <w:rFonts w:asciiTheme="minorEastAsia" w:hAnsiTheme="minorEastAsia" w:eastAsiaTheme="minorEastAsia"/>
          <w:sz w:val="24"/>
        </w:rPr>
      </w:pPr>
      <w:r>
        <w:rPr>
          <w:rFonts w:hint="eastAsia" w:asciiTheme="minorEastAsia" w:hAnsiTheme="minorEastAsia" w:eastAsiaTheme="minorEastAsia"/>
          <w:sz w:val="24"/>
        </w:rPr>
        <w:t>高级查询：系统帮助用户定义查询表达式，实现用户提出的更具体的查询。</w:t>
      </w:r>
    </w:p>
    <w:p>
      <w:pPr>
        <w:numPr>
          <w:ilvl w:val="0"/>
          <w:numId w:val="5"/>
        </w:numPr>
        <w:spacing w:line="360" w:lineRule="auto"/>
        <w:rPr>
          <w:rFonts w:asciiTheme="minorEastAsia" w:hAnsiTheme="minorEastAsia" w:eastAsiaTheme="minorEastAsia"/>
          <w:sz w:val="24"/>
        </w:rPr>
      </w:pPr>
      <w:r>
        <w:rPr>
          <w:rFonts w:hint="eastAsia" w:asciiTheme="minorEastAsia" w:hAnsiTheme="minorEastAsia" w:eastAsiaTheme="minorEastAsia"/>
          <w:sz w:val="24"/>
        </w:rPr>
        <w:t>模糊查询：根据输入的检索字符，系统能够自动在选定的数据库里进行漫游式检索，并将结果返回给用户；支持在上一次检索的范围里再次检索，，增加查询的准确率。</w:t>
      </w:r>
    </w:p>
    <w:p>
      <w:pPr>
        <w:numPr>
          <w:ilvl w:val="0"/>
          <w:numId w:val="5"/>
        </w:numPr>
        <w:spacing w:line="360" w:lineRule="auto"/>
        <w:rPr>
          <w:rFonts w:asciiTheme="minorEastAsia" w:hAnsiTheme="minorEastAsia" w:eastAsiaTheme="minorEastAsia"/>
          <w:sz w:val="24"/>
        </w:rPr>
      </w:pPr>
      <w:r>
        <w:rPr>
          <w:rFonts w:hint="eastAsia" w:asciiTheme="minorEastAsia" w:hAnsiTheme="minorEastAsia" w:eastAsiaTheme="minorEastAsia"/>
          <w:sz w:val="24"/>
        </w:rPr>
        <w:t>全文检索：利用全文检索引擎实现数字档案的智能全文检索功能。能够支持Doc、Xls、Ppt、Pdf、TxT等文件类型的全文检索。根据检索项提供多条件组合查询、渐进查询、逻辑查询等，并能对常用检索途径进行优化，满足用户对查全率、查准率的要求。</w:t>
      </w:r>
    </w:p>
    <w:p>
      <w:pPr>
        <w:numPr>
          <w:ilvl w:val="0"/>
          <w:numId w:val="5"/>
        </w:numPr>
        <w:spacing w:line="360" w:lineRule="auto"/>
        <w:rPr>
          <w:rFonts w:asciiTheme="minorEastAsia" w:hAnsiTheme="minorEastAsia" w:eastAsiaTheme="minorEastAsia"/>
          <w:sz w:val="24"/>
        </w:rPr>
      </w:pPr>
      <w:r>
        <w:rPr>
          <w:rFonts w:hint="eastAsia" w:asciiTheme="minorEastAsia" w:hAnsiTheme="minorEastAsia" w:eastAsiaTheme="minorEastAsia"/>
          <w:sz w:val="24"/>
        </w:rPr>
        <w:t>网上借阅管理：与档案信息网站相结合，实现网上档案借阅和浏览申请、借阅查询等功能。除通过网站提供档案网上借阅功能外，还可通过电子阅览室提供电子档案的查询与利用功能。</w:t>
      </w:r>
    </w:p>
    <w:p>
      <w:pPr>
        <w:numPr>
          <w:ilvl w:val="0"/>
          <w:numId w:val="5"/>
        </w:numPr>
        <w:spacing w:line="360" w:lineRule="auto"/>
        <w:rPr>
          <w:rFonts w:asciiTheme="minorEastAsia" w:hAnsiTheme="minorEastAsia" w:eastAsiaTheme="minorEastAsia"/>
          <w:sz w:val="24"/>
        </w:rPr>
      </w:pPr>
      <w:r>
        <w:rPr>
          <w:rFonts w:hint="eastAsia" w:asciiTheme="minorEastAsia" w:hAnsiTheme="minorEastAsia" w:eastAsiaTheme="minorEastAsia"/>
          <w:sz w:val="24"/>
        </w:rPr>
        <w:t>电子档案访问申请：实现网上用户电子档案访问申请功能。由档案管理员对申请者进行审核并临时赋权，使其在一段时间或在有限次数的范围内可以浏览、下载获得赋权的档案。</w:t>
      </w:r>
    </w:p>
    <w:p>
      <w:pPr>
        <w:numPr>
          <w:ilvl w:val="0"/>
          <w:numId w:val="5"/>
        </w:numPr>
        <w:spacing w:line="360" w:lineRule="auto"/>
        <w:rPr>
          <w:rFonts w:asciiTheme="minorEastAsia" w:hAnsiTheme="minorEastAsia" w:eastAsiaTheme="minorEastAsia"/>
          <w:sz w:val="24"/>
        </w:rPr>
      </w:pPr>
      <w:r>
        <w:rPr>
          <w:rFonts w:hint="eastAsia" w:asciiTheme="minorEastAsia" w:hAnsiTheme="minorEastAsia" w:eastAsiaTheme="minorEastAsia"/>
          <w:sz w:val="24"/>
        </w:rPr>
        <w:t>电子档案借阅：用户必须通过电子档案访问申请功能获得某条档案条目的借阅权限后，该用户浏览该档案条目信息时，出现电子档案借阅按钮。点击按钮，可实现电子档案借阅。</w:t>
      </w:r>
    </w:p>
    <w:p>
      <w:pPr>
        <w:spacing w:line="360" w:lineRule="auto"/>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（5） 原文安全浏览器</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可在不装客户端的情况下浏览Pdf、Jpg、Doc等格式的原文数据。原文浏览时，不接受将页面转换成swf文件的技术方案。</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对在客户端浏览的原文数据可进行下载、复制、防截屏、打印、水印等相关权限的功能设置。</w:t>
      </w:r>
    </w:p>
    <w:p>
      <w:pPr>
        <w:spacing w:line="360" w:lineRule="auto"/>
        <w:ind w:firstLine="480" w:firstLineChars="200"/>
        <w:rPr>
          <w:rFonts w:asciiTheme="minorEastAsia" w:hAnsiTheme="minorEastAsia" w:eastAsiaTheme="minorEastAsia"/>
          <w:b/>
          <w:bCs/>
          <w:sz w:val="24"/>
        </w:rPr>
      </w:pPr>
      <w:r>
        <w:rPr>
          <w:rFonts w:hint="eastAsia" w:ascii="宋体" w:hAnsi="宋体" w:cs="宋体"/>
          <w:color w:val="FF0000"/>
          <w:sz w:val="24"/>
        </w:rPr>
        <w:t>★</w:t>
      </w:r>
      <w:r>
        <w:rPr>
          <w:rFonts w:hint="eastAsia" w:asciiTheme="minorEastAsia" w:hAnsiTheme="minorEastAsia" w:eastAsiaTheme="minorEastAsia"/>
          <w:b/>
          <w:bCs/>
          <w:sz w:val="24"/>
        </w:rPr>
        <w:t>（6）网站设计及档案信息发布</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设计建立档案馆网站，实现档案馆工作介绍、业务指导、编研成果的信息发布、利用等功能。可以自定义添加网站的1级栏目和2级栏目，对栏目具有添加、删除、开通、关闭、基本信息维护、制定人员审核等功能；在栏目下可对编辑内容进行发布；具有对已发布的内容进行编辑、撤销发布等功能。</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与档案管理系统进行集成，将档案管理系统中指定条件的档案信息和编研信息经过审核（可批量审核也可单条审核），按一定的展示格式发布到档案馆网站上去。网站发布的档案信息可以进行模糊查询和全文查询。</w:t>
      </w:r>
    </w:p>
    <w:p>
      <w:pPr>
        <w:spacing w:line="360" w:lineRule="auto"/>
        <w:ind w:firstLine="480" w:firstLineChars="200"/>
        <w:rPr>
          <w:rFonts w:ascii="宋体"/>
          <w:szCs w:val="21"/>
        </w:rPr>
      </w:pPr>
      <w:r>
        <w:rPr>
          <w:rFonts w:hint="eastAsia" w:asciiTheme="minorEastAsia" w:hAnsiTheme="minorEastAsia" w:eastAsiaTheme="minorEastAsia"/>
          <w:sz w:val="24"/>
        </w:rPr>
        <w:t>档案馆网站可以采用内外网IP控制技术来限制外网和内网访问栏目的控制。</w:t>
      </w:r>
    </w:p>
    <w:p>
      <w:pPr>
        <w:spacing w:line="360" w:lineRule="auto"/>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（7）声像档案管理系统</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声像档案管理系统具有档案管理模块的所有功能，在其功能的基础上用户还可通过上传文件夹（照片或视频文件）或文件压缩包来生成案卷目录和卷内目录，并且可修改目录和追加目录和原文。在形成案卷时，系统自动提取文件夹生成案卷目录的文件标题、形成日期、归档日期等信息，卷内目录的题名、形成日期则自动提取文件的名称和产生日期。</w:t>
      </w:r>
    </w:p>
    <w:p>
      <w:pPr>
        <w:numPr>
          <w:ilvl w:val="0"/>
          <w:numId w:val="5"/>
        </w:numPr>
        <w:spacing w:line="360" w:lineRule="auto"/>
        <w:rPr>
          <w:rFonts w:asciiTheme="minorEastAsia" w:hAnsiTheme="minorEastAsia" w:eastAsiaTheme="minorEastAsia"/>
          <w:sz w:val="24"/>
        </w:rPr>
      </w:pPr>
      <w:r>
        <w:rPr>
          <w:rFonts w:hint="eastAsia" w:asciiTheme="minorEastAsia" w:hAnsiTheme="minorEastAsia" w:eastAsiaTheme="minorEastAsia"/>
          <w:sz w:val="24"/>
        </w:rPr>
        <w:t>文件夹批量上传。支持批量打包上传，即通过压缩包、文件夹、或点击多个（支持圈选或点住Ctrl模式）直接上传。如压缩包里有多个文件夹，自动设置为多个案卷。自动赋予卷号及件号。自动提取文件夹及文件夹内文件的名称作为案卷题名、文件题名。</w:t>
      </w:r>
    </w:p>
    <w:p>
      <w:pPr>
        <w:numPr>
          <w:ilvl w:val="0"/>
          <w:numId w:val="5"/>
        </w:num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声像档案整理。支持批量手工修改，即可上传未修改名称的照片，之后在系统内修改。</w:t>
      </w:r>
    </w:p>
    <w:p>
      <w:pPr>
        <w:numPr>
          <w:ilvl w:val="0"/>
          <w:numId w:val="5"/>
        </w:numPr>
        <w:spacing w:line="360" w:lineRule="auto"/>
        <w:rPr>
          <w:rFonts w:asciiTheme="minorEastAsia" w:hAnsiTheme="minorEastAsia" w:eastAsiaTheme="minorEastAsia"/>
          <w:sz w:val="24"/>
        </w:rPr>
      </w:pPr>
      <w:r>
        <w:rPr>
          <w:rFonts w:hint="eastAsia" w:asciiTheme="minorEastAsia" w:hAnsiTheme="minorEastAsia" w:eastAsiaTheme="minorEastAsia"/>
          <w:sz w:val="24"/>
        </w:rPr>
        <w:t>照片提交后，由档案馆审核后入库。不符合要求的退回修改。对已存入系统的照片支持批量自主选择性修改照片名及批量下载。</w:t>
      </w:r>
    </w:p>
    <w:p>
      <w:pPr>
        <w:numPr>
          <w:ilvl w:val="0"/>
          <w:numId w:val="5"/>
        </w:numPr>
        <w:spacing w:line="360" w:lineRule="auto"/>
        <w:rPr>
          <w:rFonts w:asciiTheme="minorEastAsia" w:hAnsiTheme="minorEastAsia" w:eastAsiaTheme="minorEastAsia"/>
          <w:sz w:val="24"/>
        </w:rPr>
      </w:pPr>
      <w:r>
        <w:rPr>
          <w:rFonts w:hint="eastAsia" w:asciiTheme="minorEastAsia" w:hAnsiTheme="minorEastAsia" w:eastAsiaTheme="minorEastAsia"/>
          <w:sz w:val="24"/>
        </w:rPr>
        <w:t>挂接至系统中所有文件，可下载、导出，且文件名以档号、题名、时间等多字段组合命名。</w:t>
      </w:r>
    </w:p>
    <w:p>
      <w:pPr>
        <w:numPr>
          <w:ilvl w:val="0"/>
          <w:numId w:val="5"/>
        </w:numPr>
        <w:spacing w:line="360" w:lineRule="auto"/>
        <w:rPr>
          <w:rFonts w:asciiTheme="minorEastAsia" w:hAnsiTheme="minorEastAsia" w:eastAsiaTheme="minorEastAsia"/>
          <w:sz w:val="24"/>
        </w:rPr>
      </w:pPr>
      <w:r>
        <w:rPr>
          <w:rFonts w:hint="eastAsia" w:asciiTheme="minorEastAsia" w:hAnsiTheme="minorEastAsia" w:eastAsiaTheme="minorEastAsia"/>
          <w:sz w:val="24"/>
        </w:rPr>
        <w:t>声像档案利用。可把声像档案通过发布功能发布到档案馆网站上：发布后的展示效果可选择页面下拉样式、翻页书本杂志样式。</w:t>
      </w:r>
    </w:p>
    <w:p>
      <w:pPr>
        <w:numPr>
          <w:ilvl w:val="0"/>
          <w:numId w:val="5"/>
        </w:numPr>
        <w:spacing w:line="360" w:lineRule="auto"/>
        <w:rPr>
          <w:rFonts w:asciiTheme="minorEastAsia" w:hAnsiTheme="minorEastAsia" w:eastAsiaTheme="minorEastAsia"/>
          <w:sz w:val="24"/>
        </w:rPr>
      </w:pPr>
      <w:r>
        <w:rPr>
          <w:rFonts w:hint="eastAsia" w:asciiTheme="minorEastAsia" w:hAnsiTheme="minorEastAsia" w:eastAsiaTheme="minorEastAsia"/>
          <w:sz w:val="24"/>
        </w:rPr>
        <w:t>在线点播。采用流媒体技术支持视频在线点播，声像档案管理模块应和信息发布平台进行集成，可以对需要发布的声像档案自动发布到网页上并可以进行在线点播。</w:t>
      </w:r>
    </w:p>
    <w:p>
      <w:pPr>
        <w:spacing w:line="360" w:lineRule="auto"/>
        <w:ind w:firstLine="480" w:firstLineChars="200"/>
        <w:rPr>
          <w:rFonts w:asciiTheme="minorEastAsia" w:hAnsiTheme="minorEastAsia" w:eastAsiaTheme="minorEastAsia"/>
          <w:b/>
          <w:bCs/>
          <w:sz w:val="24"/>
        </w:rPr>
      </w:pPr>
      <w:r>
        <w:rPr>
          <w:rFonts w:hint="eastAsia" w:ascii="宋体" w:hAnsi="宋体" w:cs="宋体"/>
          <w:color w:val="FF0000"/>
          <w:sz w:val="24"/>
        </w:rPr>
        <w:t>★</w:t>
      </w:r>
      <w:r>
        <w:rPr>
          <w:rFonts w:hint="eastAsia" w:asciiTheme="minorEastAsia" w:hAnsiTheme="minorEastAsia" w:eastAsiaTheme="minorEastAsia"/>
          <w:b/>
          <w:bCs/>
          <w:sz w:val="24"/>
        </w:rPr>
        <w:t>（8）学籍管理系统</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学籍管理系统能够管理从招生分配、学工等业务系统产生的学生基本信息、入学信息、录检信息、奖励信息、处分信息、异动信息、论文信息、学生成绩信息、毕业信息、社会关系、培养计划等，对采集过来的数据进行整合，进行卡片式的展示，对个人信息可进行切换式的查看，实现学生学籍档案信息的综合管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可对学籍管理系统中采集到的数据进行分发至其他子系统中，为其他系统提供数据利用。</w:t>
      </w:r>
    </w:p>
    <w:p>
      <w:pPr>
        <w:spacing w:line="360" w:lineRule="auto"/>
        <w:ind w:firstLine="480" w:firstLineChars="200"/>
        <w:rPr>
          <w:rFonts w:asciiTheme="minorEastAsia" w:hAnsiTheme="minorEastAsia" w:eastAsiaTheme="minorEastAsia"/>
          <w:b/>
          <w:bCs/>
          <w:sz w:val="24"/>
        </w:rPr>
      </w:pPr>
      <w:r>
        <w:rPr>
          <w:rFonts w:hint="eastAsia" w:ascii="宋体" w:hAnsi="宋体" w:cs="宋体"/>
          <w:color w:val="FF0000"/>
          <w:sz w:val="24"/>
        </w:rPr>
        <w:t>★</w:t>
      </w:r>
      <w:r>
        <w:rPr>
          <w:rFonts w:hint="eastAsia" w:asciiTheme="minorEastAsia" w:hAnsiTheme="minorEastAsia" w:eastAsiaTheme="minorEastAsia"/>
          <w:b/>
          <w:bCs/>
          <w:sz w:val="24"/>
        </w:rPr>
        <w:t>（9）远程利用服务系统</w:t>
      </w:r>
    </w:p>
    <w:p>
      <w:pPr>
        <w:numPr>
          <w:ilvl w:val="0"/>
          <w:numId w:val="5"/>
        </w:numPr>
        <w:spacing w:line="360" w:lineRule="auto"/>
        <w:rPr>
          <w:rFonts w:asciiTheme="minorEastAsia" w:hAnsiTheme="minorEastAsia" w:eastAsiaTheme="minorEastAsia"/>
          <w:sz w:val="24"/>
        </w:rPr>
      </w:pPr>
      <w:r>
        <w:rPr>
          <w:rFonts w:hint="eastAsia" w:asciiTheme="minorEastAsia" w:hAnsiTheme="minorEastAsia" w:eastAsiaTheme="minorEastAsia"/>
          <w:sz w:val="24"/>
        </w:rPr>
        <w:t>通过远程利用服务系统实现档案借查阅的网上预约、网上业务咨询、学籍证明网上预约、在线支付以及学籍档案出具证明、成绩证书翻译等利用服务的远程提交、办结服务等。</w:t>
      </w:r>
    </w:p>
    <w:p>
      <w:pPr>
        <w:numPr>
          <w:ilvl w:val="0"/>
          <w:numId w:val="5"/>
        </w:numPr>
        <w:spacing w:line="360" w:lineRule="auto"/>
        <w:rPr>
          <w:rFonts w:asciiTheme="minorEastAsia" w:hAnsiTheme="minorEastAsia" w:eastAsiaTheme="minorEastAsia"/>
          <w:sz w:val="24"/>
        </w:rPr>
      </w:pPr>
      <w:r>
        <w:rPr>
          <w:rFonts w:hint="eastAsia" w:asciiTheme="minorEastAsia" w:hAnsiTheme="minorEastAsia" w:eastAsiaTheme="minorEastAsia"/>
          <w:sz w:val="24"/>
        </w:rPr>
        <w:t>实名注册及管理。</w:t>
      </w:r>
      <w:r>
        <w:rPr>
          <w:rFonts w:hint="eastAsia" w:asciiTheme="minorEastAsia" w:hAnsiTheme="minorEastAsia" w:eastAsiaTheme="minorEastAsia"/>
          <w:b/>
          <w:bCs/>
          <w:sz w:val="24"/>
        </w:rPr>
        <w:t>对于校内人员，</w:t>
      </w:r>
      <w:r>
        <w:rPr>
          <w:rFonts w:hint="eastAsia" w:asciiTheme="minorEastAsia" w:hAnsiTheme="minorEastAsia" w:eastAsiaTheme="minorEastAsia"/>
          <w:sz w:val="24"/>
        </w:rPr>
        <w:t>采用单点登录的方式，与学校身份认证系统一致。</w:t>
      </w:r>
      <w:r>
        <w:rPr>
          <w:rFonts w:hint="eastAsia" w:asciiTheme="minorEastAsia" w:hAnsiTheme="minorEastAsia" w:eastAsiaTheme="minorEastAsia"/>
          <w:b/>
          <w:bCs/>
          <w:sz w:val="24"/>
        </w:rPr>
        <w:t>对于校外的人员，</w:t>
      </w:r>
      <w:r>
        <w:rPr>
          <w:rFonts w:hint="eastAsia" w:asciiTheme="minorEastAsia" w:hAnsiTheme="minorEastAsia" w:eastAsiaTheme="minorEastAsia"/>
          <w:sz w:val="24"/>
        </w:rPr>
        <w:t>用户注册信息及密码管理，包括个人用户和单位用户注册，并提供身份验证信息上传功能。其中，个人用户注册应有真实姓名、性别、身份证号码、联系电话、邮箱、登录密码、提示问题等信息，单位用户注册应有单位名称、单位证件、联系电话、邮箱、登录密码、提示问题等信息。</w:t>
      </w:r>
    </w:p>
    <w:p>
      <w:pPr>
        <w:numPr>
          <w:ilvl w:val="0"/>
          <w:numId w:val="5"/>
        </w:numPr>
        <w:spacing w:line="360" w:lineRule="auto"/>
        <w:rPr>
          <w:rFonts w:asciiTheme="minorEastAsia" w:hAnsiTheme="minorEastAsia" w:eastAsiaTheme="minorEastAsia"/>
          <w:sz w:val="24"/>
        </w:rPr>
      </w:pPr>
      <w:r>
        <w:rPr>
          <w:rFonts w:hint="eastAsia" w:asciiTheme="minorEastAsia" w:hAnsiTheme="minorEastAsia" w:eastAsiaTheme="minorEastAsia"/>
          <w:sz w:val="24"/>
        </w:rPr>
        <w:t>网上预约服务。提供学校各类型档案的查询利用的网上预约服务。实现线上用户订单确认、沟通渠道以及订单状态 (例如预约成功、已提交、已受理、已完成等)查询和提醒等。</w:t>
      </w:r>
    </w:p>
    <w:p>
      <w:pPr>
        <w:spacing w:line="360" w:lineRule="auto"/>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（10）校园网新闻采集系统</w:t>
      </w:r>
    </w:p>
    <w:p>
      <w:pPr>
        <w:spacing w:line="360" w:lineRule="auto"/>
        <w:ind w:firstLine="420"/>
        <w:rPr>
          <w:sz w:val="24"/>
        </w:rPr>
      </w:pPr>
      <w:r>
        <w:rPr>
          <w:rFonts w:hint="eastAsia" w:ascii="宋体" w:hAnsi="宋体"/>
          <w:sz w:val="24"/>
        </w:rPr>
        <w:t>采用网页搜索、内容智能提取与过滤、自动分类、自动去重等技术，实现对校园网上主要新闻动态网页进行自动的采集归入到档案管理系统中，需采集整个网页的原文信息。</w:t>
      </w:r>
    </w:p>
    <w:p>
      <w:pPr>
        <w:spacing w:line="360" w:lineRule="auto"/>
        <w:ind w:firstLine="420"/>
        <w:rPr>
          <w:rFonts w:ascii="宋体" w:hAnsi="宋体"/>
          <w:sz w:val="24"/>
        </w:rPr>
      </w:pPr>
      <w:r>
        <w:rPr>
          <w:rFonts w:hint="eastAsia" w:ascii="宋体" w:hAnsi="宋体"/>
          <w:sz w:val="24"/>
        </w:rPr>
        <w:t>新闻中心发至校园网主页新闻可直接归入照片档案管理系统。</w:t>
      </w:r>
    </w:p>
    <w:p>
      <w:pPr>
        <w:spacing w:line="360" w:lineRule="auto"/>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（11） RFID库房管理系统</w:t>
      </w:r>
    </w:p>
    <w:p>
      <w:pPr>
        <w:spacing w:line="360" w:lineRule="auto"/>
        <w:ind w:firstLine="420"/>
        <w:rPr>
          <w:rFonts w:ascii="宋体" w:hAnsi="宋体"/>
          <w:szCs w:val="21"/>
        </w:rPr>
      </w:pPr>
      <w:r>
        <w:rPr>
          <w:rFonts w:hint="eastAsia" w:ascii="宋体" w:hAnsi="宋体"/>
          <w:sz w:val="24"/>
        </w:rPr>
        <w:t xml:space="preserve">  RFID库房管理系统必须作为一个模块集成在档案管理系统里，不接受单独RFID软件投标。通过RFID库房管理系统实现档案的出入库盘点的智能化管理，所购买的设备如下：</w:t>
      </w:r>
    </w:p>
    <w:p>
      <w:pPr>
        <w:numPr>
          <w:ilvl w:val="0"/>
          <w:numId w:val="6"/>
        </w:numPr>
        <w:spacing w:line="360" w:lineRule="auto"/>
        <w:rPr>
          <w:rFonts w:ascii="宋体" w:hAnsi="宋体"/>
          <w:b/>
          <w:bCs/>
          <w:color w:val="000000"/>
          <w:szCs w:val="21"/>
        </w:rPr>
      </w:pPr>
      <w:r>
        <w:rPr>
          <w:rFonts w:ascii="宋体" w:hAnsi="宋体"/>
          <w:b/>
          <w:bCs/>
          <w:color w:val="000000"/>
          <w:szCs w:val="21"/>
        </w:rPr>
        <w:t xml:space="preserve"> </w:t>
      </w:r>
      <w:r>
        <w:rPr>
          <w:rFonts w:hint="eastAsia" w:ascii="宋体" w:hAnsi="宋体"/>
          <w:b/>
          <w:bCs/>
          <w:color w:val="000000"/>
          <w:szCs w:val="21"/>
        </w:rPr>
        <w:t>设备数量清单</w:t>
      </w:r>
    </w:p>
    <w:tbl>
      <w:tblPr>
        <w:tblStyle w:val="14"/>
        <w:tblW w:w="8780" w:type="dxa"/>
        <w:tblInd w:w="93" w:type="dxa"/>
        <w:tblLayout w:type="fixed"/>
        <w:tblCellMar>
          <w:top w:w="0" w:type="dxa"/>
          <w:left w:w="108" w:type="dxa"/>
          <w:bottom w:w="0" w:type="dxa"/>
          <w:right w:w="108" w:type="dxa"/>
        </w:tblCellMar>
      </w:tblPr>
      <w:tblGrid>
        <w:gridCol w:w="5176"/>
        <w:gridCol w:w="3604"/>
      </w:tblGrid>
      <w:tr>
        <w:tblPrEx>
          <w:tblLayout w:type="fixed"/>
          <w:tblCellMar>
            <w:top w:w="0" w:type="dxa"/>
            <w:left w:w="108" w:type="dxa"/>
            <w:bottom w:w="0" w:type="dxa"/>
            <w:right w:w="108" w:type="dxa"/>
          </w:tblCellMar>
        </w:tblPrEx>
        <w:trPr>
          <w:trHeight w:val="446" w:hRule="atLeast"/>
        </w:trPr>
        <w:tc>
          <w:tcPr>
            <w:tcW w:w="5176"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sz w:val="24"/>
              </w:rPr>
            </w:pPr>
            <w:r>
              <w:rPr>
                <w:rFonts w:hint="eastAsia" w:ascii="宋体" w:hAnsi="宋体"/>
                <w:sz w:val="24"/>
              </w:rPr>
              <w:t>产品</w:t>
            </w:r>
          </w:p>
        </w:tc>
        <w:tc>
          <w:tcPr>
            <w:tcW w:w="3604" w:type="dxa"/>
            <w:tcBorders>
              <w:top w:val="single" w:color="auto" w:sz="8" w:space="0"/>
              <w:left w:val="nil"/>
              <w:bottom w:val="single" w:color="auto" w:sz="8" w:space="0"/>
              <w:right w:val="single" w:color="auto" w:sz="8" w:space="0"/>
            </w:tcBorders>
            <w:vAlign w:val="center"/>
          </w:tcPr>
          <w:p>
            <w:pPr>
              <w:widowControl/>
              <w:jc w:val="center"/>
              <w:rPr>
                <w:rFonts w:ascii="宋体" w:hAnsi="宋体"/>
                <w:sz w:val="24"/>
              </w:rPr>
            </w:pPr>
            <w:r>
              <w:rPr>
                <w:rFonts w:hint="eastAsia" w:ascii="宋体" w:hAnsi="宋体"/>
                <w:sz w:val="24"/>
              </w:rPr>
              <w:t>数量</w:t>
            </w:r>
          </w:p>
        </w:tc>
      </w:tr>
      <w:tr>
        <w:tblPrEx>
          <w:tblLayout w:type="fixed"/>
          <w:tblCellMar>
            <w:top w:w="0" w:type="dxa"/>
            <w:left w:w="108" w:type="dxa"/>
            <w:bottom w:w="0" w:type="dxa"/>
            <w:right w:w="108" w:type="dxa"/>
          </w:tblCellMar>
        </w:tblPrEx>
        <w:trPr>
          <w:trHeight w:val="446" w:hRule="atLeast"/>
        </w:trPr>
        <w:tc>
          <w:tcPr>
            <w:tcW w:w="5176" w:type="dxa"/>
            <w:tcBorders>
              <w:top w:val="nil"/>
              <w:left w:val="single" w:color="auto" w:sz="8" w:space="0"/>
              <w:bottom w:val="single" w:color="auto" w:sz="8" w:space="0"/>
              <w:right w:val="single" w:color="auto" w:sz="8" w:space="0"/>
            </w:tcBorders>
            <w:vAlign w:val="center"/>
          </w:tcPr>
          <w:p>
            <w:pPr>
              <w:widowControl/>
              <w:jc w:val="center"/>
              <w:rPr>
                <w:rFonts w:ascii="宋体" w:hAnsi="宋体"/>
                <w:sz w:val="24"/>
              </w:rPr>
            </w:pPr>
            <w:r>
              <w:rPr>
                <w:rFonts w:hint="eastAsia" w:ascii="宋体" w:hAnsi="宋体"/>
                <w:sz w:val="24"/>
              </w:rPr>
              <w:t>RFID打印机</w:t>
            </w:r>
          </w:p>
        </w:tc>
        <w:tc>
          <w:tcPr>
            <w:tcW w:w="3604" w:type="dxa"/>
            <w:tcBorders>
              <w:top w:val="nil"/>
              <w:left w:val="nil"/>
              <w:bottom w:val="single" w:color="auto" w:sz="8" w:space="0"/>
              <w:right w:val="single" w:color="auto" w:sz="8" w:space="0"/>
            </w:tcBorders>
            <w:vAlign w:val="center"/>
          </w:tcPr>
          <w:p>
            <w:pPr>
              <w:widowControl/>
              <w:jc w:val="center"/>
              <w:rPr>
                <w:rFonts w:ascii="宋体" w:hAnsi="宋体"/>
                <w:sz w:val="24"/>
              </w:rPr>
            </w:pPr>
            <w:r>
              <w:rPr>
                <w:rFonts w:hint="eastAsia" w:ascii="宋体" w:hAnsi="宋体"/>
                <w:sz w:val="24"/>
              </w:rPr>
              <w:t>1</w:t>
            </w:r>
          </w:p>
        </w:tc>
      </w:tr>
      <w:tr>
        <w:tblPrEx>
          <w:tblLayout w:type="fixed"/>
          <w:tblCellMar>
            <w:top w:w="0" w:type="dxa"/>
            <w:left w:w="108" w:type="dxa"/>
            <w:bottom w:w="0" w:type="dxa"/>
            <w:right w:w="108" w:type="dxa"/>
          </w:tblCellMar>
        </w:tblPrEx>
        <w:trPr>
          <w:trHeight w:val="446" w:hRule="atLeast"/>
        </w:trPr>
        <w:tc>
          <w:tcPr>
            <w:tcW w:w="5176" w:type="dxa"/>
            <w:tcBorders>
              <w:top w:val="nil"/>
              <w:left w:val="single" w:color="auto" w:sz="8" w:space="0"/>
              <w:bottom w:val="single" w:color="auto" w:sz="8" w:space="0"/>
              <w:right w:val="single" w:color="auto" w:sz="8" w:space="0"/>
            </w:tcBorders>
            <w:vAlign w:val="center"/>
          </w:tcPr>
          <w:p>
            <w:pPr>
              <w:widowControl/>
              <w:jc w:val="center"/>
              <w:rPr>
                <w:rFonts w:ascii="宋体" w:hAnsi="宋体"/>
                <w:sz w:val="24"/>
              </w:rPr>
            </w:pPr>
            <w:r>
              <w:rPr>
                <w:rFonts w:hint="eastAsia" w:ascii="宋体" w:hAnsi="宋体"/>
                <w:sz w:val="24"/>
              </w:rPr>
              <w:t>手持机</w:t>
            </w:r>
          </w:p>
        </w:tc>
        <w:tc>
          <w:tcPr>
            <w:tcW w:w="3604" w:type="dxa"/>
            <w:tcBorders>
              <w:top w:val="nil"/>
              <w:left w:val="nil"/>
              <w:bottom w:val="single" w:color="auto" w:sz="8" w:space="0"/>
              <w:right w:val="single" w:color="auto" w:sz="8" w:space="0"/>
            </w:tcBorders>
            <w:vAlign w:val="center"/>
          </w:tcPr>
          <w:p>
            <w:pPr>
              <w:widowControl/>
              <w:jc w:val="center"/>
              <w:rPr>
                <w:rFonts w:ascii="宋体" w:hAnsi="宋体"/>
                <w:sz w:val="24"/>
              </w:rPr>
            </w:pPr>
            <w:r>
              <w:rPr>
                <w:rFonts w:hint="eastAsia" w:ascii="宋体" w:hAnsi="宋体"/>
                <w:sz w:val="24"/>
              </w:rPr>
              <w:t>1</w:t>
            </w:r>
          </w:p>
        </w:tc>
      </w:tr>
      <w:tr>
        <w:tblPrEx>
          <w:tblLayout w:type="fixed"/>
          <w:tblCellMar>
            <w:top w:w="0" w:type="dxa"/>
            <w:left w:w="108" w:type="dxa"/>
            <w:bottom w:w="0" w:type="dxa"/>
            <w:right w:w="108" w:type="dxa"/>
          </w:tblCellMar>
        </w:tblPrEx>
        <w:trPr>
          <w:trHeight w:val="467" w:hRule="atLeast"/>
        </w:trPr>
        <w:tc>
          <w:tcPr>
            <w:tcW w:w="5176" w:type="dxa"/>
            <w:tcBorders>
              <w:top w:val="nil"/>
              <w:left w:val="single" w:color="auto" w:sz="8" w:space="0"/>
              <w:bottom w:val="single" w:color="auto" w:sz="8" w:space="0"/>
              <w:right w:val="single" w:color="auto" w:sz="8" w:space="0"/>
            </w:tcBorders>
            <w:vAlign w:val="center"/>
          </w:tcPr>
          <w:p>
            <w:pPr>
              <w:widowControl/>
              <w:jc w:val="center"/>
              <w:rPr>
                <w:rFonts w:ascii="宋体" w:hAnsi="宋体"/>
                <w:sz w:val="24"/>
              </w:rPr>
            </w:pPr>
            <w:r>
              <w:rPr>
                <w:rFonts w:hint="eastAsia" w:ascii="宋体" w:hAnsi="宋体"/>
                <w:sz w:val="24"/>
              </w:rPr>
              <w:t>通道机</w:t>
            </w:r>
          </w:p>
        </w:tc>
        <w:tc>
          <w:tcPr>
            <w:tcW w:w="3604" w:type="dxa"/>
            <w:tcBorders>
              <w:top w:val="nil"/>
              <w:left w:val="nil"/>
              <w:bottom w:val="single" w:color="auto" w:sz="8" w:space="0"/>
              <w:right w:val="single" w:color="auto" w:sz="8" w:space="0"/>
            </w:tcBorders>
            <w:vAlign w:val="center"/>
          </w:tcPr>
          <w:p>
            <w:pPr>
              <w:widowControl/>
              <w:jc w:val="center"/>
              <w:rPr>
                <w:rFonts w:ascii="宋体" w:hAnsi="宋体"/>
                <w:sz w:val="24"/>
              </w:rPr>
            </w:pPr>
            <w:r>
              <w:rPr>
                <w:rFonts w:ascii="宋体" w:hAnsi="宋体"/>
                <w:sz w:val="24"/>
              </w:rPr>
              <w:t>1</w:t>
            </w:r>
            <w:r>
              <w:rPr>
                <w:rFonts w:hint="eastAsia" w:ascii="宋体" w:hAnsi="宋体"/>
                <w:sz w:val="24"/>
              </w:rPr>
              <w:t>组</w:t>
            </w:r>
          </w:p>
        </w:tc>
      </w:tr>
    </w:tbl>
    <w:p>
      <w:pPr>
        <w:spacing w:line="360" w:lineRule="auto"/>
        <w:rPr>
          <w:rFonts w:ascii="宋体" w:hAnsi="宋体"/>
          <w:b/>
          <w:bCs/>
          <w:sz w:val="24"/>
        </w:rPr>
      </w:pPr>
    </w:p>
    <w:p>
      <w:pPr>
        <w:spacing w:line="360" w:lineRule="auto"/>
        <w:ind w:firstLine="477" w:firstLineChars="199"/>
        <w:rPr>
          <w:rFonts w:ascii="宋体" w:hAnsi="宋体"/>
          <w:b/>
          <w:bCs/>
          <w:color w:val="000000"/>
          <w:sz w:val="24"/>
        </w:rPr>
      </w:pPr>
      <w:r>
        <w:rPr>
          <w:rFonts w:hint="eastAsia" w:ascii="宋体" w:hAnsi="宋体" w:cs="宋体"/>
          <w:color w:val="FF0000"/>
          <w:sz w:val="24"/>
        </w:rPr>
        <w:t>★</w:t>
      </w:r>
      <w:r>
        <w:rPr>
          <w:rFonts w:hint="eastAsia" w:ascii="宋体" w:hAnsi="宋体"/>
          <w:b/>
          <w:bCs/>
          <w:color w:val="000000"/>
          <w:sz w:val="24"/>
        </w:rPr>
        <w:t>(12)数据交换接口、系统集成要求</w:t>
      </w:r>
    </w:p>
    <w:p>
      <w:pPr>
        <w:spacing w:line="360" w:lineRule="auto"/>
        <w:ind w:firstLine="480" w:firstLineChars="200"/>
        <w:rPr>
          <w:rFonts w:ascii="宋体"/>
          <w:sz w:val="24"/>
        </w:rPr>
      </w:pPr>
      <w:r>
        <w:rPr>
          <w:rFonts w:hint="eastAsia" w:ascii="宋体" w:hAnsi="宋体"/>
          <w:sz w:val="24"/>
        </w:rPr>
        <w:t>系统能够与OA</w:t>
      </w:r>
      <w:r>
        <w:rPr>
          <w:rFonts w:hint="eastAsia" w:ascii="宋体" w:hAnsi="宋体"/>
          <w:color w:val="000000"/>
          <w:sz w:val="24"/>
        </w:rPr>
        <w:t>系统，学校单点登录平台进行集成</w:t>
      </w:r>
      <w:r>
        <w:rPr>
          <w:rFonts w:hint="eastAsia" w:ascii="宋体"/>
          <w:sz w:val="24"/>
        </w:rPr>
        <w:t xml:space="preserve"> 。</w:t>
      </w:r>
    </w:p>
    <w:p>
      <w:pPr>
        <w:numPr>
          <w:ilvl w:val="0"/>
          <w:numId w:val="7"/>
        </w:numPr>
        <w:spacing w:line="360" w:lineRule="auto"/>
        <w:rPr>
          <w:rFonts w:ascii="宋体" w:hAnsi="宋体" w:cs="宋体糮.擮.."/>
          <w:color w:val="000000"/>
          <w:kern w:val="0"/>
          <w:sz w:val="24"/>
        </w:rPr>
      </w:pPr>
      <w:r>
        <w:rPr>
          <w:rFonts w:hint="eastAsia" w:ascii="宋体" w:hAnsi="宋体" w:cs="宋体糮.擮.."/>
          <w:b/>
          <w:bCs/>
          <w:color w:val="000000"/>
          <w:kern w:val="0"/>
          <w:sz w:val="24"/>
        </w:rPr>
        <w:t>数字化校园单点登陆集成。</w:t>
      </w:r>
      <w:r>
        <w:rPr>
          <w:rFonts w:hint="eastAsia" w:ascii="宋体" w:hAnsi="宋体" w:cs="宋体糮.擮.."/>
          <w:color w:val="000000"/>
          <w:kern w:val="0"/>
          <w:sz w:val="24"/>
        </w:rPr>
        <w:t>通过和数字化校园进行数据集成实现系统单点登录，统一身份认证。当公用平台新增用户时该用户账号同时会在档案系统中创建，并且设定到默认的用户组，初始密码，赋予默认的权限。该用户在档案系统的信息变更，包括密码修改，以及权限变更等都在档案系统独立处理，与公用平台无关。</w:t>
      </w:r>
    </w:p>
    <w:p>
      <w:pPr>
        <w:numPr>
          <w:ilvl w:val="0"/>
          <w:numId w:val="7"/>
        </w:numPr>
        <w:spacing w:line="360" w:lineRule="auto"/>
        <w:rPr>
          <w:rFonts w:ascii="宋体" w:hAnsi="宋体"/>
          <w:sz w:val="24"/>
        </w:rPr>
      </w:pPr>
      <w:r>
        <w:rPr>
          <w:rFonts w:hint="eastAsia" w:ascii="宋体" w:hAnsi="宋体" w:cs="宋体糮.擮.."/>
          <w:b/>
          <w:bCs/>
          <w:color w:val="000000"/>
          <w:kern w:val="0"/>
          <w:sz w:val="24"/>
        </w:rPr>
        <w:t>与办公自动化系统集成。</w:t>
      </w:r>
      <w:r>
        <w:rPr>
          <w:rFonts w:hint="eastAsia" w:ascii="宋体" w:hAnsi="宋体" w:cs="宋体糮.擮.."/>
          <w:color w:val="000000"/>
          <w:kern w:val="0"/>
          <w:sz w:val="24"/>
        </w:rPr>
        <w:t>通过在办公自动化系统中开发电子文件归档接口实现文档在线归档，并根据规则生成档案的实体分类号及件号，档案管理系统在线接收至相应的业务表中，并按要</w:t>
      </w:r>
      <w:r>
        <w:rPr>
          <w:rFonts w:hint="eastAsia" w:ascii="宋体" w:hAnsi="宋体"/>
          <w:sz w:val="24"/>
        </w:rPr>
        <w:t>求自动生成文件目录和挂接全文。归档部门为校办及其它产生电子文件的职能部门等，按年代</w:t>
      </w:r>
      <w:r>
        <w:rPr>
          <w:rFonts w:hint="eastAsia" w:ascii="宋体"/>
          <w:sz w:val="24"/>
        </w:rPr>
        <w:t>-</w:t>
      </w:r>
      <w:r>
        <w:rPr>
          <w:rFonts w:hint="eastAsia" w:ascii="宋体" w:hAnsi="宋体"/>
          <w:sz w:val="24"/>
        </w:rPr>
        <w:t>部门</w:t>
      </w:r>
      <w:r>
        <w:rPr>
          <w:rFonts w:hint="eastAsia" w:ascii="宋体"/>
          <w:sz w:val="24"/>
        </w:rPr>
        <w:t>-</w:t>
      </w:r>
      <w:r>
        <w:rPr>
          <w:rFonts w:hint="eastAsia" w:ascii="宋体" w:hAnsi="宋体"/>
          <w:sz w:val="24"/>
        </w:rPr>
        <w:t>保管期生成的文件目录需和实体档案按顺序一一对应，方便核对与整理。</w:t>
      </w:r>
    </w:p>
    <w:p>
      <w:pPr>
        <w:spacing w:before="100" w:beforeAutospacing="1" w:after="100" w:afterAutospacing="1" w:line="360" w:lineRule="exact"/>
        <w:ind w:left="840" w:leftChars="200" w:hanging="420"/>
        <w:jc w:val="left"/>
        <w:rPr>
          <w:rFonts w:ascii="宋体" w:hAnsi="宋体" w:cs="宋体."/>
          <w:b/>
          <w:bCs/>
          <w:color w:val="000000"/>
          <w:kern w:val="0"/>
          <w:sz w:val="24"/>
        </w:rPr>
      </w:pPr>
      <w:r>
        <w:rPr>
          <w:rFonts w:hint="eastAsia" w:ascii="宋体" w:hAnsi="宋体" w:cs="Calibri"/>
          <w:b/>
          <w:bCs/>
          <w:color w:val="000000"/>
          <w:sz w:val="24"/>
        </w:rPr>
        <w:t>(13) 系统设置</w:t>
      </w:r>
    </w:p>
    <w:p>
      <w:pPr>
        <w:autoSpaceDE w:val="0"/>
        <w:autoSpaceDN w:val="0"/>
        <w:adjustRightInd w:val="0"/>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系统设置保证档案综合管理系统在安全的环境下正常运转，对各个业务子系统进行系统级支持，提供基础数据维护、权限管理、日志管理等功能。</w:t>
      </w:r>
    </w:p>
    <w:p>
      <w:pPr>
        <w:numPr>
          <w:ilvl w:val="0"/>
          <w:numId w:val="8"/>
        </w:numPr>
        <w:autoSpaceDE w:val="0"/>
        <w:autoSpaceDN w:val="0"/>
        <w:adjustRightInd w:val="0"/>
        <w:spacing w:line="360" w:lineRule="auto"/>
        <w:jc w:val="left"/>
        <w:rPr>
          <w:rFonts w:ascii="宋体"/>
          <w:color w:val="000000"/>
          <w:kern w:val="0"/>
          <w:sz w:val="24"/>
        </w:rPr>
      </w:pPr>
      <w:r>
        <w:rPr>
          <w:rFonts w:hint="eastAsia" w:ascii="宋体" w:hAnsi="宋体" w:cs="Arial Unicode MS"/>
          <w:color w:val="000000"/>
          <w:kern w:val="0"/>
          <w:sz w:val="24"/>
        </w:rPr>
        <w:t>权限管理：</w:t>
      </w:r>
      <w:r>
        <w:rPr>
          <w:rFonts w:hint="eastAsia" w:ascii="宋体" w:hAnsi="宋体"/>
          <w:color w:val="000000"/>
          <w:kern w:val="0"/>
          <w:sz w:val="24"/>
        </w:rPr>
        <w:t>实现系统用户管理和授权管理功能，包括机构与用户管理、角色与授权管理、权限功能审计等。</w:t>
      </w:r>
    </w:p>
    <w:p>
      <w:pPr>
        <w:numPr>
          <w:ilvl w:val="0"/>
          <w:numId w:val="8"/>
        </w:numPr>
        <w:autoSpaceDE w:val="0"/>
        <w:autoSpaceDN w:val="0"/>
        <w:adjustRightInd w:val="0"/>
        <w:spacing w:line="360" w:lineRule="auto"/>
        <w:jc w:val="left"/>
        <w:rPr>
          <w:rFonts w:ascii="宋体" w:hAnsi="宋体" w:cs="Arial Unicode MS"/>
          <w:color w:val="000000"/>
          <w:kern w:val="0"/>
          <w:sz w:val="24"/>
        </w:rPr>
      </w:pPr>
      <w:r>
        <w:rPr>
          <w:rFonts w:hint="eastAsia" w:ascii="宋体" w:hAnsi="宋体" w:cs="Arial Unicode MS"/>
          <w:color w:val="000000"/>
          <w:kern w:val="0"/>
          <w:sz w:val="24"/>
        </w:rPr>
        <w:t>数据维护：对档案管理相关数据进行日常维护，包括日志管理、回收站管理、数据备份、数据恢复等。</w:t>
      </w:r>
    </w:p>
    <w:p>
      <w:pPr>
        <w:numPr>
          <w:ilvl w:val="0"/>
          <w:numId w:val="8"/>
        </w:numPr>
        <w:autoSpaceDE w:val="0"/>
        <w:autoSpaceDN w:val="0"/>
        <w:adjustRightInd w:val="0"/>
        <w:spacing w:line="360" w:lineRule="auto"/>
        <w:jc w:val="left"/>
        <w:rPr>
          <w:rFonts w:ascii="宋体" w:hAnsi="宋体" w:cs="Arial Unicode MS"/>
          <w:color w:val="000000"/>
          <w:kern w:val="0"/>
          <w:sz w:val="24"/>
        </w:rPr>
      </w:pPr>
      <w:r>
        <w:rPr>
          <w:rFonts w:hint="eastAsia" w:ascii="宋体" w:hAnsi="宋体" w:cs="Arial Unicode MS"/>
          <w:color w:val="000000"/>
          <w:kern w:val="0"/>
          <w:sz w:val="24"/>
        </w:rPr>
        <w:t>档案设置：全宗管理、档案库管理、文件库管理、分类表管理、报表维护、表关联设置。</w:t>
      </w:r>
    </w:p>
    <w:p>
      <w:pPr>
        <w:numPr>
          <w:ilvl w:val="0"/>
          <w:numId w:val="8"/>
        </w:numPr>
        <w:autoSpaceDE w:val="0"/>
        <w:autoSpaceDN w:val="0"/>
        <w:adjustRightInd w:val="0"/>
        <w:spacing w:line="360" w:lineRule="auto"/>
        <w:jc w:val="left"/>
        <w:rPr>
          <w:rFonts w:ascii="宋体" w:hAnsi="宋体" w:cs="Arial Unicode MS"/>
          <w:color w:val="000000"/>
          <w:kern w:val="0"/>
          <w:sz w:val="24"/>
        </w:rPr>
      </w:pPr>
      <w:r>
        <w:rPr>
          <w:rFonts w:hint="eastAsia" w:ascii="宋体" w:hAnsi="宋体" w:cs="Arial Unicode MS"/>
          <w:color w:val="000000"/>
          <w:kern w:val="0"/>
          <w:sz w:val="24"/>
        </w:rPr>
        <w:t>著录智能化维护：为系统中常用的元数据提供维护界面，便于数据重用，包括代码库维护、信息库维护等。</w:t>
      </w:r>
    </w:p>
    <w:p>
      <w:pPr>
        <w:numPr>
          <w:ilvl w:val="0"/>
          <w:numId w:val="8"/>
        </w:numPr>
        <w:autoSpaceDE w:val="0"/>
        <w:autoSpaceDN w:val="0"/>
        <w:adjustRightInd w:val="0"/>
        <w:spacing w:line="360" w:lineRule="auto"/>
        <w:jc w:val="left"/>
        <w:rPr>
          <w:rFonts w:ascii="宋体" w:hAnsi="宋体" w:cs="Arial Unicode MS"/>
          <w:color w:val="000000"/>
          <w:kern w:val="0"/>
          <w:sz w:val="24"/>
        </w:rPr>
      </w:pPr>
      <w:r>
        <w:rPr>
          <w:rFonts w:hint="eastAsia" w:ascii="宋体" w:hAnsi="宋体" w:cs="Arial Unicode MS"/>
          <w:color w:val="000000"/>
          <w:kern w:val="0"/>
          <w:sz w:val="24"/>
        </w:rPr>
        <w:t>参数设置：对系统使用过程中常用的一些参数进行设置，便于系统移植和重新配置，包括字段对应设置、立卷设置、档号设置、排序设置、原文服务器设置、批量挂接设置、口令修改等。</w:t>
      </w:r>
    </w:p>
    <w:p>
      <w:pPr>
        <w:numPr>
          <w:ilvl w:val="0"/>
          <w:numId w:val="8"/>
        </w:numPr>
        <w:autoSpaceDE w:val="0"/>
        <w:autoSpaceDN w:val="0"/>
        <w:adjustRightInd w:val="0"/>
        <w:spacing w:line="360" w:lineRule="auto"/>
        <w:jc w:val="left"/>
        <w:rPr>
          <w:rFonts w:ascii="宋体" w:hAnsi="宋体" w:cs="Arial Unicode MS"/>
          <w:color w:val="000000"/>
          <w:kern w:val="0"/>
          <w:sz w:val="24"/>
        </w:rPr>
      </w:pPr>
      <w:r>
        <w:rPr>
          <w:rFonts w:hint="eastAsia" w:ascii="宋体" w:hAnsi="宋体" w:cs="Arial Unicode MS"/>
          <w:color w:val="000000"/>
          <w:kern w:val="0"/>
          <w:sz w:val="24"/>
        </w:rPr>
        <w:t>工作流管理：即工作流自定义功能。可以根据实际的业务工作流程，在线定义流程图。可以为流程中的节点定义相关的审批角色或用户、可以为流程中的路径定义相关的操作，如导入数据文件、修改档案条目数据状态值等操作；可以定义流程中的回退、分支、聚合等过程；可以复制已存在的流程。</w:t>
      </w:r>
    </w:p>
    <w:p>
      <w:pPr>
        <w:spacing w:before="100" w:beforeAutospacing="1" w:after="100" w:afterAutospacing="1" w:line="360" w:lineRule="exact"/>
        <w:ind w:left="420" w:leftChars="200"/>
        <w:jc w:val="left"/>
        <w:rPr>
          <w:rFonts w:ascii="宋体" w:hAnsi="Calibri" w:cs="Calibri"/>
          <w:b/>
          <w:bCs/>
          <w:color w:val="000000"/>
          <w:sz w:val="24"/>
        </w:rPr>
      </w:pPr>
      <w:r>
        <w:rPr>
          <w:rFonts w:hint="eastAsia" w:ascii="宋体" w:hAnsi="宋体" w:cs="Calibri"/>
          <w:b/>
          <w:bCs/>
          <w:color w:val="000000"/>
          <w:sz w:val="24"/>
        </w:rPr>
        <w:t>（三）服务要求</w:t>
      </w:r>
    </w:p>
    <w:p>
      <w:pPr>
        <w:spacing w:line="360" w:lineRule="auto"/>
        <w:ind w:firstLine="420"/>
        <w:rPr>
          <w:rFonts w:ascii="宋体"/>
          <w:color w:val="000000"/>
          <w:sz w:val="24"/>
        </w:rPr>
      </w:pPr>
      <w:r>
        <w:rPr>
          <w:rFonts w:hint="eastAsia" w:ascii="宋体" w:hAnsi="宋体"/>
          <w:b/>
          <w:bCs/>
          <w:color w:val="000000"/>
          <w:sz w:val="24"/>
        </w:rPr>
        <w:t>1.免费维保期</w:t>
      </w:r>
      <w:r>
        <w:rPr>
          <w:rFonts w:hint="eastAsia" w:ascii="宋体" w:hAnsi="宋体"/>
          <w:color w:val="000000"/>
          <w:sz w:val="24"/>
        </w:rPr>
        <w:t>：自项目验收通过之日起，对整个系统免费维保不少于3年。</w:t>
      </w:r>
    </w:p>
    <w:p>
      <w:pPr>
        <w:spacing w:line="360" w:lineRule="auto"/>
        <w:ind w:firstLine="420"/>
        <w:rPr>
          <w:rFonts w:ascii="宋体" w:hAnsi="宋体"/>
          <w:color w:val="000000"/>
          <w:sz w:val="24"/>
        </w:rPr>
      </w:pPr>
      <w:r>
        <w:rPr>
          <w:rFonts w:hint="eastAsia" w:ascii="宋体" w:hAnsi="宋体"/>
          <w:b/>
          <w:bCs/>
          <w:color w:val="000000"/>
          <w:sz w:val="24"/>
        </w:rPr>
        <w:t>2.在免费维保期内</w:t>
      </w:r>
      <w:r>
        <w:rPr>
          <w:rFonts w:hint="eastAsia" w:ascii="宋体" w:hAnsi="宋体"/>
          <w:color w:val="000000"/>
          <w:sz w:val="24"/>
        </w:rPr>
        <w:t xml:space="preserve">，成交人应免费提供软件系统的维护、更新、升级、软件故障排除及采购方要求提供的其他技术服务（如配合实现档案管理系统与其他系统的无缝链接等）；无论硬件或软件出现故障，成交人应及时响应并予以解决，支持电话沟通排除故障、远程登录系统排除故障、现场排除故障的应急解决方案，到达现场的时间不得多于24小时； </w:t>
      </w:r>
    </w:p>
    <w:p>
      <w:pPr>
        <w:spacing w:line="360" w:lineRule="auto"/>
        <w:ind w:firstLine="420"/>
        <w:rPr>
          <w:rFonts w:ascii="宋体"/>
          <w:sz w:val="24"/>
        </w:rPr>
      </w:pPr>
      <w:r>
        <w:rPr>
          <w:rFonts w:hint="eastAsia" w:ascii="宋体" w:hAnsi="宋体"/>
          <w:b/>
          <w:bCs/>
          <w:color w:val="000000"/>
          <w:sz w:val="24"/>
        </w:rPr>
        <w:t>3.免费维保期满</w:t>
      </w:r>
      <w:r>
        <w:rPr>
          <w:rFonts w:hint="eastAsia" w:ascii="宋体" w:hAnsi="宋体"/>
          <w:b/>
          <w:bCs/>
          <w:sz w:val="24"/>
        </w:rPr>
        <w:t>后</w:t>
      </w:r>
      <w:r>
        <w:rPr>
          <w:rFonts w:hint="eastAsia" w:ascii="宋体" w:hAnsi="宋体"/>
          <w:sz w:val="24"/>
        </w:rPr>
        <w:t>，成交人应继续为该软件系统提供终身维护，所需服务及产品允许收取相关费用，但应以成本价提供，并在响应文件中明示。在学校建设数字校园过程中，成交人仍应无条件地提供数据接口规范，并参加系统联合调试，达到无缝对接的目标。</w:t>
      </w:r>
    </w:p>
    <w:p>
      <w:pPr>
        <w:spacing w:line="360" w:lineRule="auto"/>
        <w:ind w:firstLine="420"/>
        <w:rPr>
          <w:rFonts w:ascii="宋体"/>
          <w:sz w:val="24"/>
        </w:rPr>
      </w:pPr>
      <w:r>
        <w:rPr>
          <w:rFonts w:hint="eastAsia" w:ascii="宋体" w:hAnsi="宋体"/>
          <w:b/>
          <w:bCs/>
          <w:color w:val="000000"/>
          <w:sz w:val="24"/>
        </w:rPr>
        <w:t>4.培训及技术服务</w:t>
      </w:r>
      <w:r>
        <w:rPr>
          <w:rFonts w:hint="eastAsia" w:ascii="宋体" w:hAnsi="宋体"/>
          <w:color w:val="000000"/>
          <w:sz w:val="24"/>
        </w:rPr>
        <w:t>，为保障应用软件顺利运行，应考虑到相关的培训安排。对系统管理员的培训应在系统安装、调试开始，到完全掌握为止；对全校所有专（兼）职档案工作人员（约20</w:t>
      </w:r>
      <w:r>
        <w:rPr>
          <w:rFonts w:hint="eastAsia" w:ascii="宋体"/>
          <w:color w:val="000000"/>
          <w:sz w:val="24"/>
        </w:rPr>
        <w:t>0</w:t>
      </w:r>
      <w:r>
        <w:rPr>
          <w:rFonts w:hint="eastAsia" w:ascii="宋体" w:hAnsi="宋体"/>
          <w:color w:val="000000"/>
          <w:sz w:val="24"/>
        </w:rPr>
        <w:t>人）开展不少于1次的现场培训，对档案馆专职人员（20人）开展不少于10个课时的操作培训，确保用户基本熟悉软件操作。</w:t>
      </w:r>
    </w:p>
    <w:p>
      <w:pPr>
        <w:spacing w:line="360" w:lineRule="auto"/>
        <w:ind w:firstLine="480"/>
        <w:rPr>
          <w:b/>
          <w:bCs/>
          <w:sz w:val="24"/>
        </w:rPr>
      </w:pPr>
      <w:r>
        <w:rPr>
          <w:rFonts w:hint="eastAsia" w:ascii="宋体" w:hAnsi="宋体" w:cs="Calibri"/>
          <w:b/>
          <w:bCs/>
          <w:color w:val="000000"/>
          <w:sz w:val="24"/>
        </w:rPr>
        <w:t>（四）</w:t>
      </w:r>
      <w:r>
        <w:rPr>
          <w:rFonts w:hint="eastAsia" w:ascii="宋体" w:hAnsi="宋体"/>
          <w:b/>
          <w:bCs/>
          <w:sz w:val="24"/>
        </w:rPr>
        <w:t>投标报价</w:t>
      </w:r>
    </w:p>
    <w:p>
      <w:pPr>
        <w:spacing w:line="360" w:lineRule="exact"/>
        <w:ind w:firstLine="480" w:firstLineChars="200"/>
        <w:rPr>
          <w:rFonts w:ascii="宋体" w:hAnsi="宋体"/>
          <w:color w:val="000000"/>
          <w:sz w:val="24"/>
        </w:rPr>
      </w:pPr>
      <w:r>
        <w:rPr>
          <w:rFonts w:hint="eastAsia" w:ascii="宋体" w:hAnsi="宋体"/>
          <w:sz w:val="24"/>
        </w:rPr>
        <w:t>应为完成档案业务管理平台采购项目软件开发供应安装，并通过合格验收的全部价格，包括软件系统开发和安装</w:t>
      </w:r>
      <w:r>
        <w:rPr>
          <w:rFonts w:hint="eastAsia" w:ascii="宋体" w:hAnsi="宋体"/>
          <w:color w:val="000000"/>
          <w:sz w:val="24"/>
        </w:rPr>
        <w:t>费用等。</w:t>
      </w:r>
    </w:p>
    <w:p>
      <w:pPr>
        <w:spacing w:line="360" w:lineRule="exact"/>
        <w:ind w:firstLine="480" w:firstLineChars="200"/>
        <w:rPr>
          <w:rFonts w:ascii="宋体" w:hAnsi="宋体"/>
          <w:color w:val="000000"/>
          <w:sz w:val="24"/>
        </w:rPr>
      </w:pPr>
    </w:p>
    <w:p>
      <w:pPr>
        <w:spacing w:line="360" w:lineRule="exact"/>
        <w:ind w:firstLine="477" w:firstLineChars="198"/>
        <w:rPr>
          <w:rFonts w:ascii="宋体"/>
          <w:b/>
          <w:bCs/>
          <w:sz w:val="24"/>
        </w:rPr>
      </w:pPr>
      <w:r>
        <w:rPr>
          <w:rFonts w:hint="eastAsia" w:asciiTheme="minorEastAsia" w:hAnsiTheme="minorEastAsia" w:eastAsiaTheme="minorEastAsia"/>
          <w:b/>
          <w:bCs/>
          <w:sz w:val="24"/>
        </w:rPr>
        <w:t>（五）</w:t>
      </w:r>
      <w:r>
        <w:rPr>
          <w:rFonts w:hint="eastAsia" w:ascii="宋体" w:hAnsi="宋体"/>
          <w:b/>
          <w:bCs/>
          <w:sz w:val="24"/>
        </w:rPr>
        <w:t>其他技术、功能和实施等要求</w:t>
      </w:r>
    </w:p>
    <w:p>
      <w:pPr>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bCs/>
          <w:sz w:val="24"/>
        </w:rPr>
        <w:t>1.描述对项目的理解。</w:t>
      </w:r>
      <w:r>
        <w:rPr>
          <w:rFonts w:hint="eastAsia" w:asciiTheme="minorEastAsia" w:hAnsiTheme="minorEastAsia" w:eastAsiaTheme="minorEastAsia"/>
          <w:sz w:val="24"/>
        </w:rPr>
        <w:t>投标人在描述系统设计方案时，不能局限于照搬或机械性翻译业务流程，而要明确提出一套有效的解决模式和相应的设计思路，并应提供足够的细节，包括如下内容：系统目标和功能；信息分类；数据流程（业务处理模式）；基于输入/输出的需求（界面描述）；与学校数字化校园和业务系统的数据采集及共享接口、数据系统集成的实施方案；在系统使用和操作方法上应该尽可能的考虑一般档案系统的使用习惯；系统兼容性等。</w:t>
      </w:r>
    </w:p>
    <w:p>
      <w:pPr>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bCs/>
          <w:sz w:val="24"/>
        </w:rPr>
        <w:t>2.系统性能要求。</w:t>
      </w:r>
      <w:r>
        <w:rPr>
          <w:rFonts w:hint="eastAsia" w:asciiTheme="minorEastAsia" w:hAnsiTheme="minorEastAsia" w:eastAsiaTheme="minorEastAsia"/>
          <w:sz w:val="24"/>
        </w:rPr>
        <w:t>提升工作效率的要求——说明该软件如何提高工作效率；可操作性要求——说明该软件如何易于理解掌握，操作简单，逻辑性强，直观简洁等的要求；灵活性——说明该软件在需求或环境发生某些变化时，该软件对这些变化的适应能力，如：需求及流程变化、操作方式变化、机构人员变化、空间地点变化、操作系统环境变化等；响应时间——针对用户操作的反应时间；安全容错及保密性——防止主机崩溃方法、防止病毒方法、数据备份方法；网络的实用性、稳定性、安全性。</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根据江苏开发大学档案数据资源的特点和业务需要，存在部分数据和业务系统面向外网开放，或者征集档案的窗口面向外网，但是内部数据仅限于校园内网访问，为了保证数据的安全性，要求面向不同网络的数据要有存储上的物理隔离。</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4.投标人应与用户进行充分细致的沟通，派驻现场技术开发人员，对部分功能需求和界面设计进行细化，并按照用户的具体需求进行项目实施。</w:t>
      </w:r>
    </w:p>
    <w:p>
      <w:pPr>
        <w:spacing w:line="480" w:lineRule="exact"/>
        <w:rPr>
          <w:sz w:val="24"/>
        </w:rPr>
      </w:pPr>
    </w:p>
    <w:p>
      <w:pPr>
        <w:spacing w:line="360" w:lineRule="auto"/>
        <w:ind w:firstLine="422" w:firstLineChars="200"/>
        <w:rPr>
          <w:b/>
          <w:sz w:val="24"/>
        </w:rPr>
      </w:pPr>
      <w:r>
        <w:rPr>
          <w:rFonts w:hint="eastAsia"/>
          <w:b/>
          <w:szCs w:val="21"/>
        </w:rPr>
        <w:t>六</w:t>
      </w:r>
      <w:r>
        <w:rPr>
          <w:rFonts w:hint="eastAsia"/>
          <w:b/>
          <w:sz w:val="24"/>
        </w:rPr>
        <w:t>、标书要求：</w:t>
      </w:r>
      <w:bookmarkStart w:id="0" w:name="_Toc350199955"/>
    </w:p>
    <w:p>
      <w:pPr>
        <w:spacing w:line="360" w:lineRule="auto"/>
        <w:ind w:firstLine="480" w:firstLineChars="200"/>
        <w:rPr>
          <w:b/>
          <w:sz w:val="24"/>
        </w:rPr>
      </w:pPr>
      <w:r>
        <w:rPr>
          <w:rFonts w:hint="eastAsia"/>
          <w:sz w:val="24"/>
        </w:rPr>
        <w:t>(一）标书一式伍份，正本壹份、副本肆份；必须装订成册（胶封）并逐页加注页码；</w:t>
      </w:r>
    </w:p>
    <w:p>
      <w:pPr>
        <w:spacing w:line="360" w:lineRule="auto"/>
        <w:ind w:firstLine="240" w:firstLineChars="100"/>
        <w:rPr>
          <w:sz w:val="24"/>
        </w:rPr>
      </w:pPr>
      <w:r>
        <w:rPr>
          <w:rFonts w:hint="eastAsia"/>
          <w:sz w:val="24"/>
        </w:rPr>
        <w:t>（二）投标文件须密封并在封口加盖公章，否则文件将被拒收。</w:t>
      </w:r>
    </w:p>
    <w:bookmarkEnd w:id="0"/>
    <w:p>
      <w:pPr>
        <w:spacing w:line="360" w:lineRule="auto"/>
        <w:rPr>
          <w:b/>
          <w:sz w:val="24"/>
        </w:rPr>
      </w:pPr>
      <w:r>
        <w:rPr>
          <w:rFonts w:hint="eastAsia"/>
          <w:b/>
          <w:sz w:val="24"/>
        </w:rPr>
        <w:t xml:space="preserve">   七、其他要求：</w:t>
      </w:r>
    </w:p>
    <w:p>
      <w:pPr>
        <w:spacing w:line="360" w:lineRule="auto"/>
        <w:ind w:firstLine="240" w:firstLineChars="100"/>
        <w:rPr>
          <w:sz w:val="24"/>
        </w:rPr>
      </w:pPr>
      <w:r>
        <w:rPr>
          <w:rFonts w:hint="eastAsia"/>
          <w:sz w:val="24"/>
        </w:rPr>
        <w:t>（一）招标文件是合同不可分割的一部分，参与投标即视为对招标文件要求的接受；</w:t>
      </w:r>
    </w:p>
    <w:p>
      <w:pPr>
        <w:spacing w:line="360" w:lineRule="auto"/>
        <w:ind w:firstLine="240" w:firstLineChars="100"/>
        <w:rPr>
          <w:sz w:val="24"/>
        </w:rPr>
      </w:pPr>
      <w:r>
        <w:rPr>
          <w:rFonts w:hint="eastAsia"/>
          <w:sz w:val="24"/>
        </w:rPr>
        <w:t>（二）请投标人务必认真阅读本招标文件，严格遵照标书内容应标；</w:t>
      </w:r>
    </w:p>
    <w:p>
      <w:pPr>
        <w:spacing w:line="360" w:lineRule="auto"/>
        <w:ind w:firstLine="240" w:firstLineChars="100"/>
        <w:rPr>
          <w:sz w:val="24"/>
        </w:rPr>
      </w:pPr>
      <w:r>
        <w:rPr>
          <w:rFonts w:hint="eastAsia"/>
          <w:sz w:val="24"/>
        </w:rPr>
        <w:t>（三）中标方负责设备的设计、安装；</w:t>
      </w:r>
    </w:p>
    <w:p>
      <w:pPr>
        <w:snapToGrid w:val="0"/>
        <w:spacing w:line="360" w:lineRule="auto"/>
        <w:ind w:firstLine="240" w:firstLineChars="100"/>
        <w:rPr>
          <w:rFonts w:ascii="宋体" w:hAnsi="宋体"/>
          <w:sz w:val="24"/>
        </w:rPr>
      </w:pPr>
      <w:r>
        <w:rPr>
          <w:rFonts w:hint="eastAsia"/>
          <w:sz w:val="24"/>
        </w:rPr>
        <w:t>（四）付款方式：</w:t>
      </w:r>
      <w:r>
        <w:rPr>
          <w:rFonts w:hint="eastAsia" w:ascii="宋体" w:hAnsi="宋体"/>
          <w:sz w:val="24"/>
        </w:rPr>
        <w:t>每年分二次付款，每次保养后，根据保养台账每年分二次付款，每次保养后，根据保养台账付清本次保养费用。</w:t>
      </w:r>
    </w:p>
    <w:p>
      <w:pPr>
        <w:spacing w:line="360" w:lineRule="auto"/>
        <w:ind w:firstLine="210" w:firstLineChars="100"/>
        <w:rPr>
          <w:b/>
          <w:sz w:val="24"/>
        </w:rPr>
      </w:pPr>
      <w:r>
        <w:rPr>
          <w:rFonts w:hint="eastAsia" w:cs="宋体"/>
          <w:szCs w:val="21"/>
        </w:rPr>
        <w:t xml:space="preserve"> </w:t>
      </w:r>
      <w:r>
        <w:rPr>
          <w:rFonts w:hint="eastAsia"/>
          <w:b/>
          <w:sz w:val="24"/>
        </w:rPr>
        <w:t>八、下列情况者视为废标：</w:t>
      </w:r>
    </w:p>
    <w:p>
      <w:pPr>
        <w:spacing w:line="360" w:lineRule="auto"/>
        <w:ind w:firstLine="240" w:firstLineChars="100"/>
        <w:rPr>
          <w:sz w:val="24"/>
        </w:rPr>
      </w:pPr>
      <w:r>
        <w:rPr>
          <w:rFonts w:hint="eastAsia"/>
          <w:sz w:val="24"/>
        </w:rPr>
        <w:t>（一）投标文件资格审查项中任意一项不响应；</w:t>
      </w:r>
    </w:p>
    <w:p>
      <w:pPr>
        <w:spacing w:line="360" w:lineRule="auto"/>
        <w:ind w:firstLine="240" w:firstLineChars="100"/>
        <w:rPr>
          <w:sz w:val="24"/>
        </w:rPr>
      </w:pPr>
      <w:r>
        <w:rPr>
          <w:rFonts w:hint="eastAsia"/>
          <w:sz w:val="24"/>
        </w:rPr>
        <w:t>（二）开标一览表、法人授权委托书提供信息不全或未盖公章或未手写签名；</w:t>
      </w:r>
    </w:p>
    <w:p>
      <w:pPr>
        <w:spacing w:line="360" w:lineRule="auto"/>
        <w:ind w:firstLine="240" w:firstLineChars="100"/>
        <w:rPr>
          <w:sz w:val="24"/>
        </w:rPr>
      </w:pPr>
      <w:r>
        <w:rPr>
          <w:rFonts w:hint="eastAsia"/>
          <w:sz w:val="24"/>
        </w:rPr>
        <w:t>（三）投标文件未装订成册（胶封）或未逐页标注页码；</w:t>
      </w:r>
    </w:p>
    <w:p>
      <w:pPr>
        <w:spacing w:line="360" w:lineRule="auto"/>
        <w:ind w:firstLine="240" w:firstLineChars="100"/>
        <w:rPr>
          <w:sz w:val="24"/>
        </w:rPr>
      </w:pPr>
      <w:r>
        <w:rPr>
          <w:rFonts w:hint="eastAsia"/>
          <w:sz w:val="24"/>
        </w:rPr>
        <w:t>（四）投标文件附有招标人不能接受的条件；</w:t>
      </w:r>
    </w:p>
    <w:p>
      <w:pPr>
        <w:spacing w:line="360" w:lineRule="auto"/>
        <w:ind w:firstLine="240" w:firstLineChars="100"/>
        <w:rPr>
          <w:sz w:val="24"/>
        </w:rPr>
      </w:pPr>
      <w:r>
        <w:rPr>
          <w:rFonts w:hint="eastAsia"/>
          <w:sz w:val="24"/>
        </w:rPr>
        <w:t>（五）不符合招标文件中规定的实质性要求（报价、技术要求、投标人资质要求）；</w:t>
      </w:r>
    </w:p>
    <w:p>
      <w:pPr>
        <w:spacing w:line="360" w:lineRule="auto"/>
        <w:ind w:firstLine="240" w:firstLineChars="100"/>
        <w:rPr>
          <w:sz w:val="24"/>
        </w:rPr>
      </w:pPr>
      <w:r>
        <w:rPr>
          <w:rFonts w:hint="eastAsia"/>
          <w:sz w:val="24"/>
        </w:rPr>
        <w:t>（六）有三项及以上技术指标负偏离的；</w:t>
      </w:r>
    </w:p>
    <w:p>
      <w:pPr>
        <w:spacing w:line="360" w:lineRule="auto"/>
        <w:ind w:firstLine="240" w:firstLineChars="100"/>
        <w:rPr>
          <w:sz w:val="24"/>
        </w:rPr>
      </w:pPr>
      <w:r>
        <w:rPr>
          <w:rFonts w:hint="eastAsia"/>
          <w:sz w:val="24"/>
        </w:rPr>
        <w:t>（七）不响应招标文件规定的付款方式；</w:t>
      </w:r>
    </w:p>
    <w:p>
      <w:pPr>
        <w:spacing w:line="360" w:lineRule="auto"/>
        <w:ind w:firstLine="240" w:firstLineChars="100"/>
        <w:rPr>
          <w:sz w:val="24"/>
        </w:rPr>
      </w:pPr>
      <w:r>
        <w:rPr>
          <w:rFonts w:hint="eastAsia"/>
          <w:sz w:val="24"/>
        </w:rPr>
        <w:t>（八）有法律法规规定的其他违法行为。</w:t>
      </w:r>
    </w:p>
    <w:p>
      <w:pPr>
        <w:spacing w:line="360" w:lineRule="auto"/>
        <w:ind w:firstLine="480" w:firstLineChars="200"/>
        <w:rPr>
          <w:sz w:val="24"/>
        </w:rPr>
      </w:pPr>
      <w:r>
        <w:rPr>
          <w:rFonts w:hint="eastAsia"/>
          <w:sz w:val="24"/>
        </w:rPr>
        <w:t>九</w:t>
      </w:r>
      <w:r>
        <w:rPr>
          <w:rFonts w:hint="eastAsia"/>
          <w:b/>
          <w:sz w:val="24"/>
        </w:rPr>
        <w:t>、报名方法：</w:t>
      </w:r>
    </w:p>
    <w:p>
      <w:pPr>
        <w:spacing w:line="360" w:lineRule="auto"/>
        <w:ind w:firstLine="480" w:firstLineChars="200"/>
        <w:rPr>
          <w:sz w:val="24"/>
        </w:rPr>
      </w:pPr>
      <w:r>
        <w:rPr>
          <w:rFonts w:hint="eastAsia"/>
          <w:sz w:val="24"/>
        </w:rPr>
        <w:t>有意投标的投标人请在2017年月日下午17:00前发送单位名称、联系人、联系电话及项目编号和项目名称到 296049516@qq.com 邮箱中，并在邮件标题中注明“学校档案管理系统项目报名”。</w:t>
      </w:r>
    </w:p>
    <w:p>
      <w:pPr>
        <w:spacing w:line="360" w:lineRule="auto"/>
        <w:rPr>
          <w:sz w:val="24"/>
        </w:rPr>
      </w:pPr>
      <w:r>
        <w:rPr>
          <w:rFonts w:hint="eastAsia"/>
          <w:sz w:val="24"/>
        </w:rPr>
        <w:t>凡未按要求报名者学校不接受其投标。</w:t>
      </w:r>
    </w:p>
    <w:p>
      <w:pPr>
        <w:spacing w:line="360" w:lineRule="auto"/>
        <w:rPr>
          <w:b/>
          <w:sz w:val="24"/>
        </w:rPr>
      </w:pPr>
      <w:r>
        <w:rPr>
          <w:rFonts w:hint="eastAsia"/>
          <w:sz w:val="24"/>
        </w:rPr>
        <w:t xml:space="preserve">  </w:t>
      </w:r>
      <w:r>
        <w:rPr>
          <w:rFonts w:hint="eastAsia"/>
          <w:b/>
          <w:sz w:val="24"/>
        </w:rPr>
        <w:t xml:space="preserve">  九、时间、地点安排：</w:t>
      </w:r>
    </w:p>
    <w:p>
      <w:pPr>
        <w:spacing w:line="360" w:lineRule="auto"/>
        <w:ind w:firstLine="240" w:firstLineChars="100"/>
        <w:rPr>
          <w:sz w:val="24"/>
        </w:rPr>
      </w:pPr>
      <w:r>
        <w:rPr>
          <w:rFonts w:hint="eastAsia"/>
          <w:sz w:val="24"/>
        </w:rPr>
        <w:t>（一）标书送达时间：2017年</w:t>
      </w:r>
      <w:r>
        <w:rPr>
          <w:rFonts w:hint="eastAsia"/>
          <w:sz w:val="24"/>
          <w:lang w:val="en-US" w:eastAsia="zh-CN"/>
        </w:rPr>
        <w:t>9</w:t>
      </w:r>
      <w:r>
        <w:rPr>
          <w:rFonts w:hint="eastAsia"/>
          <w:sz w:val="24"/>
        </w:rPr>
        <w:t>月</w:t>
      </w:r>
      <w:r>
        <w:rPr>
          <w:rFonts w:hint="eastAsia"/>
          <w:sz w:val="24"/>
          <w:lang w:val="en-US" w:eastAsia="zh-CN"/>
        </w:rPr>
        <w:t>14</w:t>
      </w:r>
      <w:r>
        <w:rPr>
          <w:rFonts w:hint="eastAsia"/>
          <w:sz w:val="24"/>
        </w:rPr>
        <w:t>日上午9:30；</w:t>
      </w:r>
    </w:p>
    <w:p>
      <w:pPr>
        <w:spacing w:line="360" w:lineRule="auto"/>
        <w:ind w:firstLine="240" w:firstLineChars="100"/>
        <w:rPr>
          <w:sz w:val="24"/>
        </w:rPr>
      </w:pPr>
      <w:r>
        <w:rPr>
          <w:rFonts w:hint="eastAsia"/>
          <w:sz w:val="24"/>
        </w:rPr>
        <w:t>（二）标书送达截止时间：2017年</w:t>
      </w:r>
      <w:r>
        <w:rPr>
          <w:rFonts w:hint="eastAsia"/>
          <w:sz w:val="24"/>
          <w:lang w:val="en-US" w:eastAsia="zh-CN"/>
        </w:rPr>
        <w:t>9</w:t>
      </w:r>
      <w:r>
        <w:rPr>
          <w:rFonts w:hint="eastAsia"/>
          <w:sz w:val="24"/>
        </w:rPr>
        <w:t>月</w:t>
      </w:r>
      <w:r>
        <w:rPr>
          <w:rFonts w:hint="eastAsia"/>
          <w:sz w:val="24"/>
          <w:lang w:val="en-US" w:eastAsia="zh-CN"/>
        </w:rPr>
        <w:t>14</w:t>
      </w:r>
      <w:r>
        <w:rPr>
          <w:rFonts w:hint="eastAsia"/>
          <w:sz w:val="24"/>
        </w:rPr>
        <w:t>日上午9:30；</w:t>
      </w:r>
    </w:p>
    <w:p>
      <w:pPr>
        <w:spacing w:line="360" w:lineRule="auto"/>
        <w:ind w:firstLine="240" w:firstLineChars="100"/>
        <w:rPr>
          <w:sz w:val="24"/>
        </w:rPr>
      </w:pPr>
      <w:r>
        <w:rPr>
          <w:rFonts w:hint="eastAsia"/>
          <w:sz w:val="24"/>
        </w:rPr>
        <w:t>（三）送达地点：</w:t>
      </w:r>
      <w:r>
        <w:rPr>
          <w:sz w:val="24"/>
        </w:rPr>
        <w:t>南京市鼓楼区江东北路399号（江东北路与定淮门大街交叉口西南角）二楼第</w:t>
      </w:r>
      <w:r>
        <w:rPr>
          <w:rFonts w:hint="eastAsia"/>
          <w:sz w:val="24"/>
        </w:rPr>
        <w:t>一</w:t>
      </w:r>
      <w:r>
        <w:rPr>
          <w:sz w:val="24"/>
        </w:rPr>
        <w:t>会议室</w:t>
      </w:r>
      <w:r>
        <w:rPr>
          <w:rFonts w:hint="eastAsia"/>
          <w:sz w:val="24"/>
        </w:rPr>
        <w:t>；</w:t>
      </w:r>
    </w:p>
    <w:p>
      <w:pPr>
        <w:spacing w:line="360" w:lineRule="auto"/>
        <w:ind w:firstLine="240" w:firstLineChars="100"/>
        <w:rPr>
          <w:sz w:val="24"/>
        </w:rPr>
      </w:pPr>
      <w:r>
        <w:rPr>
          <w:rFonts w:hint="eastAsia"/>
          <w:sz w:val="24"/>
        </w:rPr>
        <w:t>（四）开标时间：2017年</w:t>
      </w:r>
      <w:r>
        <w:rPr>
          <w:rFonts w:hint="eastAsia"/>
          <w:sz w:val="24"/>
          <w:lang w:val="en-US" w:eastAsia="zh-CN"/>
        </w:rPr>
        <w:t>9</w:t>
      </w:r>
      <w:r>
        <w:rPr>
          <w:rFonts w:hint="eastAsia"/>
          <w:sz w:val="24"/>
        </w:rPr>
        <w:t>月</w:t>
      </w:r>
      <w:r>
        <w:rPr>
          <w:rFonts w:hint="eastAsia"/>
          <w:sz w:val="24"/>
          <w:lang w:val="en-US" w:eastAsia="zh-CN"/>
        </w:rPr>
        <w:t>14</w:t>
      </w:r>
      <w:r>
        <w:rPr>
          <w:rFonts w:hint="eastAsia"/>
          <w:sz w:val="24"/>
        </w:rPr>
        <w:t>日上午9:30。</w:t>
      </w:r>
    </w:p>
    <w:p>
      <w:pPr>
        <w:spacing w:line="360" w:lineRule="auto"/>
        <w:ind w:firstLine="482" w:firstLineChars="200"/>
        <w:rPr>
          <w:b/>
          <w:sz w:val="24"/>
        </w:rPr>
      </w:pPr>
      <w:r>
        <w:rPr>
          <w:rFonts w:hint="eastAsia"/>
          <w:b/>
          <w:sz w:val="24"/>
        </w:rPr>
        <w:t>十、联系方式：</w:t>
      </w:r>
    </w:p>
    <w:p>
      <w:pPr>
        <w:spacing w:line="360" w:lineRule="auto"/>
        <w:ind w:firstLine="240" w:firstLineChars="100"/>
        <w:rPr>
          <w:sz w:val="24"/>
        </w:rPr>
      </w:pPr>
      <w:r>
        <w:rPr>
          <w:rFonts w:hint="eastAsia"/>
          <w:sz w:val="24"/>
        </w:rPr>
        <w:t>（一）地址：</w:t>
      </w:r>
      <w:r>
        <w:rPr>
          <w:sz w:val="24"/>
        </w:rPr>
        <w:t>南京市鼓楼区江东北路399号（江东北路与定淮门大街交叉口西南角）</w:t>
      </w:r>
      <w:r>
        <w:rPr>
          <w:rFonts w:hint="eastAsia"/>
          <w:sz w:val="24"/>
        </w:rPr>
        <w:t>1012室；</w:t>
      </w:r>
    </w:p>
    <w:p>
      <w:pPr>
        <w:spacing w:line="360" w:lineRule="auto"/>
        <w:ind w:firstLine="240" w:firstLineChars="100"/>
        <w:rPr>
          <w:sz w:val="24"/>
        </w:rPr>
      </w:pPr>
      <w:r>
        <w:rPr>
          <w:rFonts w:hint="eastAsia"/>
          <w:sz w:val="24"/>
        </w:rPr>
        <w:t>（二）邮编：</w:t>
      </w:r>
      <w:r>
        <w:rPr>
          <w:sz w:val="24"/>
        </w:rPr>
        <w:t>2100</w:t>
      </w:r>
      <w:r>
        <w:rPr>
          <w:rFonts w:hint="eastAsia"/>
          <w:sz w:val="24"/>
        </w:rPr>
        <w:t>36；</w:t>
      </w:r>
    </w:p>
    <w:p>
      <w:pPr>
        <w:spacing w:line="360" w:lineRule="auto"/>
        <w:ind w:firstLine="240" w:firstLineChars="100"/>
        <w:rPr>
          <w:sz w:val="24"/>
        </w:rPr>
      </w:pPr>
      <w:r>
        <w:rPr>
          <w:rFonts w:hint="eastAsia"/>
          <w:sz w:val="24"/>
        </w:rPr>
        <w:t>（三）电话：025- 86265605；</w:t>
      </w:r>
    </w:p>
    <w:p>
      <w:pPr>
        <w:spacing w:line="360" w:lineRule="auto"/>
        <w:ind w:firstLine="240" w:firstLineChars="100"/>
        <w:rPr>
          <w:sz w:val="24"/>
        </w:rPr>
      </w:pPr>
      <w:r>
        <w:rPr>
          <w:rFonts w:hint="eastAsia"/>
          <w:sz w:val="24"/>
        </w:rPr>
        <w:t>（四）联系人：李老师。</w:t>
      </w:r>
    </w:p>
    <w:p>
      <w:pPr>
        <w:spacing w:line="360" w:lineRule="auto"/>
        <w:ind w:firstLine="240" w:firstLineChars="100"/>
        <w:rPr>
          <w:sz w:val="24"/>
        </w:rPr>
      </w:pPr>
      <w:r>
        <w:rPr>
          <w:rFonts w:hint="eastAsia"/>
          <w:sz w:val="24"/>
        </w:rPr>
        <w:t>八、投标保证金</w:t>
      </w:r>
    </w:p>
    <w:p>
      <w:pPr>
        <w:spacing w:line="360" w:lineRule="auto"/>
        <w:ind w:firstLine="240" w:firstLineChars="100"/>
        <w:rPr>
          <w:sz w:val="24"/>
        </w:rPr>
      </w:pPr>
      <w:r>
        <w:rPr>
          <w:rFonts w:hint="eastAsia"/>
          <w:sz w:val="24"/>
        </w:rPr>
        <w:t>本项目不收取保证金，</w:t>
      </w:r>
    </w:p>
    <w:p>
      <w:pPr>
        <w:snapToGrid w:val="0"/>
        <w:spacing w:line="360" w:lineRule="auto"/>
        <w:ind w:firstLine="482" w:firstLineChars="200"/>
        <w:rPr>
          <w:rFonts w:ascii="宋体" w:hAnsi="宋体"/>
          <w:sz w:val="24"/>
        </w:rPr>
      </w:pPr>
      <w:r>
        <w:rPr>
          <w:rFonts w:hint="eastAsia" w:ascii="宋体" w:hAnsi="宋体"/>
          <w:b/>
          <w:sz w:val="24"/>
        </w:rPr>
        <w:t>十一、投标文件组成</w:t>
      </w:r>
      <w:r>
        <w:rPr>
          <w:rFonts w:hint="eastAsia" w:ascii="宋体" w:hAnsi="宋体"/>
          <w:sz w:val="24"/>
        </w:rPr>
        <w:t>（须加盖公章，装订成册并密封）：</w:t>
      </w:r>
    </w:p>
    <w:p>
      <w:pPr>
        <w:snapToGrid w:val="0"/>
        <w:spacing w:line="360" w:lineRule="auto"/>
        <w:ind w:firstLine="480" w:firstLineChars="200"/>
        <w:rPr>
          <w:rFonts w:ascii="宋体" w:hAnsi="宋体"/>
          <w:sz w:val="24"/>
        </w:rPr>
      </w:pPr>
      <w:r>
        <w:rPr>
          <w:rFonts w:hint="eastAsia" w:ascii="宋体" w:hAnsi="宋体"/>
          <w:sz w:val="24"/>
        </w:rPr>
        <w:t>1、报价部分</w:t>
      </w:r>
    </w:p>
    <w:p>
      <w:pPr>
        <w:snapToGrid w:val="0"/>
        <w:spacing w:line="360" w:lineRule="auto"/>
        <w:ind w:firstLine="480" w:firstLineChars="200"/>
        <w:rPr>
          <w:rFonts w:ascii="宋体" w:hAnsi="宋体"/>
          <w:sz w:val="24"/>
        </w:rPr>
      </w:pPr>
      <w:r>
        <w:rPr>
          <w:rFonts w:hint="eastAsia" w:ascii="宋体" w:hAnsi="宋体"/>
          <w:sz w:val="24"/>
        </w:rPr>
        <w:t>（1）投标函（见附件格式）；</w:t>
      </w:r>
    </w:p>
    <w:p>
      <w:pPr>
        <w:snapToGrid w:val="0"/>
        <w:spacing w:line="360" w:lineRule="auto"/>
        <w:ind w:firstLine="480" w:firstLineChars="200"/>
        <w:rPr>
          <w:rFonts w:ascii="宋体" w:hAnsi="宋体"/>
          <w:sz w:val="24"/>
        </w:rPr>
      </w:pPr>
      <w:r>
        <w:rPr>
          <w:rFonts w:hint="eastAsia" w:ascii="宋体" w:hAnsi="宋体"/>
          <w:sz w:val="24"/>
        </w:rPr>
        <w:t>（2）投标报价表（见附件格式）；</w:t>
      </w:r>
    </w:p>
    <w:p>
      <w:pPr>
        <w:snapToGrid w:val="0"/>
        <w:spacing w:line="360" w:lineRule="auto"/>
        <w:ind w:firstLine="480" w:firstLineChars="200"/>
        <w:rPr>
          <w:rFonts w:ascii="宋体" w:hAnsi="宋体"/>
          <w:sz w:val="24"/>
        </w:rPr>
      </w:pPr>
      <w:r>
        <w:rPr>
          <w:rFonts w:hint="eastAsia" w:ascii="宋体" w:hAnsi="宋体"/>
          <w:sz w:val="24"/>
        </w:rPr>
        <w:t>（3）关于资格文件的声明函（见附件格式）；</w:t>
      </w:r>
    </w:p>
    <w:p>
      <w:pPr>
        <w:snapToGrid w:val="0"/>
        <w:spacing w:line="360" w:lineRule="auto"/>
        <w:ind w:firstLine="480" w:firstLineChars="200"/>
        <w:rPr>
          <w:rFonts w:ascii="宋体" w:hAnsi="宋体"/>
          <w:sz w:val="24"/>
        </w:rPr>
      </w:pPr>
      <w:r>
        <w:rPr>
          <w:rFonts w:hint="eastAsia" w:ascii="宋体" w:hAnsi="宋体"/>
          <w:sz w:val="24"/>
        </w:rPr>
        <w:t>（4）法定代表人授权委托书（原件，见附件格式）以及法定代表人和委托代理人身份证复印件（如为授权）</w:t>
      </w:r>
    </w:p>
    <w:p>
      <w:pPr>
        <w:snapToGrid w:val="0"/>
        <w:spacing w:line="360" w:lineRule="auto"/>
        <w:ind w:firstLine="480" w:firstLineChars="200"/>
        <w:rPr>
          <w:rFonts w:ascii="宋体" w:hAnsi="宋体"/>
          <w:sz w:val="24"/>
        </w:rPr>
      </w:pPr>
      <w:r>
        <w:rPr>
          <w:rFonts w:hint="eastAsia" w:ascii="宋体" w:hAnsi="宋体"/>
          <w:sz w:val="24"/>
        </w:rPr>
        <w:t>2、技术、资格证明文件部分（所有复印件需加盖投标单位公章）</w:t>
      </w:r>
    </w:p>
    <w:p>
      <w:pPr>
        <w:snapToGrid w:val="0"/>
        <w:spacing w:line="360" w:lineRule="auto"/>
        <w:ind w:firstLine="480" w:firstLineChars="200"/>
        <w:rPr>
          <w:rFonts w:ascii="宋体" w:hAnsi="宋体"/>
          <w:sz w:val="24"/>
        </w:rPr>
      </w:pPr>
      <w:r>
        <w:rPr>
          <w:rFonts w:hint="eastAsia" w:ascii="宋体" w:hAnsi="宋体"/>
          <w:sz w:val="24"/>
        </w:rPr>
        <w:t>（1）法人或者其他组织的营业执照等证明文件，自然人的身份证明；</w:t>
      </w:r>
    </w:p>
    <w:p>
      <w:pPr>
        <w:snapToGrid w:val="0"/>
        <w:spacing w:line="360" w:lineRule="auto"/>
        <w:ind w:firstLine="480" w:firstLineChars="200"/>
        <w:rPr>
          <w:rFonts w:ascii="宋体" w:hAnsi="宋体"/>
          <w:sz w:val="24"/>
        </w:rPr>
      </w:pPr>
      <w:r>
        <w:rPr>
          <w:rFonts w:hint="eastAsia" w:ascii="宋体" w:hAnsi="宋体"/>
          <w:sz w:val="24"/>
        </w:rPr>
        <w:t>（2）上年度财务状况报告；</w:t>
      </w:r>
    </w:p>
    <w:p>
      <w:pPr>
        <w:snapToGrid w:val="0"/>
        <w:spacing w:line="360" w:lineRule="auto"/>
        <w:ind w:firstLine="480" w:firstLineChars="200"/>
        <w:rPr>
          <w:rFonts w:ascii="宋体" w:hAnsi="宋体"/>
          <w:sz w:val="24"/>
        </w:rPr>
      </w:pPr>
      <w:r>
        <w:rPr>
          <w:rFonts w:hint="eastAsia" w:ascii="宋体" w:hAnsi="宋体"/>
          <w:sz w:val="24"/>
        </w:rPr>
        <w:t>（3）具备履行合同所必需的设备和专业技术能力的证明材料；</w:t>
      </w:r>
    </w:p>
    <w:p>
      <w:pPr>
        <w:snapToGrid w:val="0"/>
        <w:spacing w:line="360" w:lineRule="auto"/>
        <w:ind w:firstLine="480" w:firstLineChars="200"/>
        <w:rPr>
          <w:rFonts w:ascii="宋体" w:hAnsi="宋体"/>
          <w:sz w:val="24"/>
        </w:rPr>
      </w:pPr>
      <w:r>
        <w:rPr>
          <w:rFonts w:hint="eastAsia" w:ascii="宋体" w:hAnsi="宋体"/>
          <w:sz w:val="24"/>
        </w:rPr>
        <w:t>（4）依法缴纳税收和社会保障资金的相关材料；</w:t>
      </w:r>
    </w:p>
    <w:p>
      <w:pPr>
        <w:snapToGrid w:val="0"/>
        <w:spacing w:line="360" w:lineRule="auto"/>
        <w:ind w:firstLine="480" w:firstLineChars="200"/>
        <w:rPr>
          <w:rFonts w:ascii="宋体" w:hAnsi="宋体"/>
          <w:sz w:val="24"/>
        </w:rPr>
      </w:pPr>
      <w:r>
        <w:rPr>
          <w:rFonts w:hint="eastAsia" w:ascii="宋体" w:hAnsi="宋体"/>
          <w:sz w:val="24"/>
        </w:rPr>
        <w:t>（5）参加政府采购活动前3年内在经营活动中没有重大违法记录的书面声明；</w:t>
      </w:r>
    </w:p>
    <w:p>
      <w:pPr>
        <w:snapToGrid w:val="0"/>
        <w:spacing w:line="360" w:lineRule="auto"/>
        <w:ind w:firstLine="480" w:firstLineChars="200"/>
        <w:rPr>
          <w:rFonts w:ascii="宋体" w:hAnsi="宋体"/>
          <w:sz w:val="24"/>
        </w:rPr>
      </w:pPr>
      <w:r>
        <w:rPr>
          <w:rFonts w:hint="eastAsia" w:ascii="宋体" w:hAnsi="宋体"/>
          <w:sz w:val="24"/>
        </w:rPr>
        <w:t>（6）售后服务承诺及免费质保期；</w:t>
      </w:r>
    </w:p>
    <w:p>
      <w:pPr>
        <w:snapToGrid w:val="0"/>
        <w:spacing w:line="360" w:lineRule="auto"/>
        <w:ind w:firstLine="480" w:firstLineChars="200"/>
        <w:rPr>
          <w:rFonts w:ascii="宋体" w:hAnsi="宋体"/>
          <w:sz w:val="24"/>
        </w:rPr>
      </w:pPr>
      <w:r>
        <w:rPr>
          <w:rFonts w:hint="eastAsia" w:ascii="宋体" w:hAnsi="宋体"/>
          <w:sz w:val="24"/>
        </w:rPr>
        <w:t>（7）相关高校档案馆相关业绩证明材料，如合同复印件。</w:t>
      </w:r>
    </w:p>
    <w:p>
      <w:pPr>
        <w:snapToGrid w:val="0"/>
        <w:spacing w:line="360" w:lineRule="auto"/>
        <w:ind w:firstLine="480" w:firstLineChars="200"/>
        <w:rPr>
          <w:rFonts w:ascii="宋体" w:hAnsi="宋体"/>
          <w:sz w:val="24"/>
        </w:rPr>
      </w:pPr>
      <w:r>
        <w:rPr>
          <w:rFonts w:hint="eastAsia" w:ascii="宋体" w:hAnsi="宋体"/>
          <w:sz w:val="24"/>
        </w:rPr>
        <w:t>上述资料均需加盖投标单位公章，需要法定代表人或委托代理人签字盖章的地方须按要求签署，若未按上述要求签署的投标文件，校方有权拒绝。</w:t>
      </w:r>
    </w:p>
    <w:p>
      <w:pPr>
        <w:numPr>
          <w:ilvl w:val="0"/>
          <w:numId w:val="9"/>
        </w:numPr>
        <w:snapToGrid w:val="0"/>
        <w:spacing w:line="360" w:lineRule="auto"/>
        <w:ind w:firstLine="482" w:firstLineChars="200"/>
        <w:rPr>
          <w:rFonts w:hint="eastAsia" w:ascii="宋体" w:hAnsi="宋体"/>
          <w:b/>
          <w:sz w:val="24"/>
        </w:rPr>
      </w:pPr>
      <w:r>
        <w:rPr>
          <w:rFonts w:hint="eastAsia" w:ascii="宋体" w:hAnsi="宋体"/>
          <w:b/>
          <w:sz w:val="24"/>
        </w:rPr>
        <w:t>附件</w:t>
      </w:r>
    </w:p>
    <w:p>
      <w:pPr>
        <w:numPr>
          <w:numId w:val="0"/>
        </w:numPr>
        <w:snapToGrid w:val="0"/>
        <w:spacing w:line="360" w:lineRule="auto"/>
        <w:rPr>
          <w:rFonts w:hint="eastAsia" w:ascii="宋体" w:hAnsi="宋体"/>
          <w:b/>
          <w:sz w:val="24"/>
        </w:rPr>
        <w:sectPr>
          <w:footerReference r:id="rId3" w:type="default"/>
          <w:pgSz w:w="11906" w:h="16838"/>
          <w:pgMar w:top="1134" w:right="1418" w:bottom="1134" w:left="1418" w:header="851" w:footer="992" w:gutter="0"/>
          <w:cols w:space="425" w:num="1"/>
          <w:docGrid w:type="lines" w:linePitch="312" w:charSpace="0"/>
        </w:sectPr>
      </w:pPr>
    </w:p>
    <w:p>
      <w:pPr>
        <w:pStyle w:val="18"/>
        <w:rPr>
          <w:rFonts w:hAnsi="宋体" w:eastAsia="宋体"/>
          <w:b/>
          <w:color w:val="000000"/>
          <w:sz w:val="24"/>
          <w:szCs w:val="24"/>
        </w:rPr>
      </w:pPr>
      <w:r>
        <w:rPr>
          <w:rFonts w:hint="eastAsia" w:hAnsi="宋体"/>
          <w:color w:val="000000"/>
          <w:sz w:val="24"/>
          <w:szCs w:val="24"/>
        </w:rPr>
        <w:t>1.</w:t>
      </w:r>
      <w:r>
        <w:rPr>
          <w:b/>
          <w:color w:val="000000"/>
          <w:sz w:val="24"/>
          <w:szCs w:val="24"/>
        </w:rPr>
        <w:t xml:space="preserve"> </w:t>
      </w:r>
      <w:r>
        <w:rPr>
          <w:rFonts w:hAnsi="宋体" w:eastAsia="宋体"/>
          <w:color w:val="000000"/>
          <w:sz w:val="24"/>
          <w:szCs w:val="24"/>
        </w:rPr>
        <w:t>投标函</w:t>
      </w:r>
    </w:p>
    <w:p>
      <w:pPr>
        <w:pStyle w:val="18"/>
        <w:spacing w:line="420" w:lineRule="exact"/>
        <w:ind w:firstLine="4874" w:firstLineChars="2023"/>
        <w:rPr>
          <w:rFonts w:hAnsi="宋体" w:eastAsia="宋体"/>
          <w:b/>
          <w:color w:val="000000"/>
          <w:sz w:val="24"/>
          <w:szCs w:val="24"/>
        </w:rPr>
      </w:pPr>
      <w:r>
        <w:rPr>
          <w:rFonts w:hint="eastAsia" w:hAnsi="宋体" w:eastAsia="宋体"/>
          <w:b/>
          <w:color w:val="000000"/>
          <w:sz w:val="24"/>
          <w:szCs w:val="24"/>
        </w:rPr>
        <w:t>投 标 函</w:t>
      </w:r>
    </w:p>
    <w:p>
      <w:pPr>
        <w:pStyle w:val="18"/>
        <w:spacing w:line="380" w:lineRule="exact"/>
        <w:rPr>
          <w:rFonts w:hAnsi="宋体" w:eastAsia="宋体"/>
          <w:color w:val="000000"/>
          <w:sz w:val="24"/>
          <w:szCs w:val="24"/>
        </w:rPr>
      </w:pPr>
      <w:r>
        <w:rPr>
          <w:rFonts w:hint="eastAsia" w:hAnsi="宋体" w:eastAsia="宋体"/>
          <w:color w:val="000000"/>
          <w:sz w:val="24"/>
          <w:szCs w:val="24"/>
        </w:rPr>
        <w:t>江苏城市职业学院</w:t>
      </w:r>
      <w:r>
        <w:rPr>
          <w:rFonts w:hAnsi="宋体" w:eastAsia="宋体"/>
          <w:color w:val="000000"/>
          <w:sz w:val="24"/>
          <w:szCs w:val="24"/>
        </w:rPr>
        <w:t xml:space="preserve">：   </w:t>
      </w:r>
    </w:p>
    <w:p>
      <w:pPr>
        <w:spacing w:line="380" w:lineRule="exact"/>
        <w:rPr>
          <w:rFonts w:ascii="宋体" w:hAnsi="宋体"/>
          <w:color w:val="000000"/>
          <w:sz w:val="24"/>
        </w:rPr>
      </w:pPr>
      <w:r>
        <w:rPr>
          <w:rFonts w:ascii="宋体" w:hAnsi="宋体"/>
          <w:color w:val="000000"/>
          <w:sz w:val="24"/>
        </w:rPr>
        <w:t xml:space="preserve">  我方收到贵</w:t>
      </w:r>
      <w:r>
        <w:rPr>
          <w:rFonts w:hint="eastAsia" w:ascii="宋体" w:hAnsi="宋体"/>
          <w:color w:val="000000"/>
          <w:sz w:val="24"/>
        </w:rPr>
        <w:t>方</w:t>
      </w:r>
      <w:r>
        <w:rPr>
          <w:rFonts w:ascii="宋体" w:hAnsi="宋体"/>
          <w:color w:val="000000"/>
          <w:sz w:val="24"/>
        </w:rPr>
        <w:t>招标文件，经仔细阅读和研究，我方决定参加投标。并向贵</w:t>
      </w:r>
      <w:r>
        <w:rPr>
          <w:rFonts w:hint="eastAsia" w:ascii="宋体" w:hAnsi="宋体"/>
          <w:color w:val="000000"/>
          <w:sz w:val="24"/>
        </w:rPr>
        <w:t>方</w:t>
      </w:r>
      <w:r>
        <w:rPr>
          <w:rFonts w:ascii="宋体" w:hAnsi="宋体"/>
          <w:color w:val="000000"/>
          <w:sz w:val="24"/>
        </w:rPr>
        <w:t>承诺：</w:t>
      </w:r>
    </w:p>
    <w:p>
      <w:pPr>
        <w:pStyle w:val="18"/>
        <w:spacing w:line="360" w:lineRule="auto"/>
        <w:ind w:firstLine="480" w:firstLineChars="200"/>
        <w:rPr>
          <w:rFonts w:ascii="Times New Roman" w:hAnsi="宋体" w:eastAsia="宋体"/>
          <w:color w:val="000000"/>
          <w:sz w:val="24"/>
          <w:szCs w:val="24"/>
          <w:u w:val="single"/>
        </w:rPr>
      </w:pPr>
      <w:r>
        <w:rPr>
          <w:rFonts w:ascii="Times New Roman" w:hAnsi="宋体" w:eastAsia="宋体"/>
          <w:color w:val="000000"/>
          <w:sz w:val="24"/>
          <w:szCs w:val="24"/>
        </w:rPr>
        <w:t xml:space="preserve"> 1、我方愿意按照招标文件的一切要求，提供</w:t>
      </w:r>
      <w:r>
        <w:rPr>
          <w:rFonts w:hint="eastAsia" w:ascii="Times New Roman" w:hAnsi="宋体" w:eastAsia="宋体"/>
          <w:color w:val="000000"/>
          <w:sz w:val="24"/>
          <w:szCs w:val="24"/>
        </w:rPr>
        <w:t>本项目的所有内容，我方的投标总报价为人民币：（大写）</w:t>
      </w:r>
      <w:r>
        <w:rPr>
          <w:rFonts w:hint="eastAsia" w:ascii="Times New Roman" w:hAnsi="宋体" w:eastAsia="宋体"/>
          <w:color w:val="000000"/>
          <w:sz w:val="24"/>
          <w:szCs w:val="24"/>
          <w:u w:val="single"/>
        </w:rPr>
        <w:t xml:space="preserve">                </w:t>
      </w:r>
      <w:r>
        <w:rPr>
          <w:rFonts w:hint="eastAsia" w:ascii="Times New Roman" w:hAnsi="宋体" w:eastAsia="宋体"/>
          <w:color w:val="000000"/>
          <w:sz w:val="24"/>
          <w:szCs w:val="24"/>
        </w:rPr>
        <w:t>；（￥</w:t>
      </w:r>
      <w:r>
        <w:rPr>
          <w:rFonts w:hint="eastAsia" w:ascii="Times New Roman" w:hAnsi="宋体" w:eastAsia="宋体"/>
          <w:color w:val="000000"/>
          <w:sz w:val="24"/>
          <w:szCs w:val="24"/>
          <w:u w:val="single"/>
        </w:rPr>
        <w:t xml:space="preserve">                        </w:t>
      </w:r>
      <w:r>
        <w:rPr>
          <w:rFonts w:hint="eastAsia" w:ascii="Times New Roman" w:hAnsi="宋体" w:eastAsia="宋体"/>
          <w:color w:val="000000"/>
          <w:sz w:val="24"/>
          <w:szCs w:val="24"/>
        </w:rPr>
        <w:t>）</w:t>
      </w:r>
      <w:r>
        <w:rPr>
          <w:rFonts w:ascii="Times New Roman" w:hAnsi="宋体" w:eastAsia="宋体"/>
          <w:color w:val="000000"/>
          <w:sz w:val="24"/>
          <w:szCs w:val="24"/>
        </w:rPr>
        <w:t>。</w:t>
      </w:r>
    </w:p>
    <w:p>
      <w:pPr>
        <w:pStyle w:val="18"/>
        <w:spacing w:line="360" w:lineRule="auto"/>
        <w:ind w:firstLine="480" w:firstLineChars="200"/>
        <w:rPr>
          <w:rFonts w:ascii="Times New Roman" w:hAnsi="宋体" w:eastAsia="宋体"/>
          <w:color w:val="000000"/>
          <w:sz w:val="24"/>
          <w:szCs w:val="24"/>
        </w:rPr>
      </w:pPr>
      <w:r>
        <w:rPr>
          <w:rFonts w:ascii="Times New Roman" w:hAnsi="宋体" w:eastAsia="宋体"/>
          <w:color w:val="000000"/>
          <w:sz w:val="24"/>
          <w:szCs w:val="24"/>
        </w:rPr>
        <w:t>2、如果我方的投标书被接受，我方将严格履行招标文件中规定的每一项要求，严格履行合同的责任和义务，保证按期、按质履行合同，完成</w:t>
      </w:r>
      <w:r>
        <w:rPr>
          <w:rFonts w:hint="eastAsia" w:ascii="Times New Roman" w:hAnsi="宋体" w:eastAsia="宋体"/>
          <w:color w:val="000000"/>
          <w:sz w:val="24"/>
          <w:szCs w:val="24"/>
        </w:rPr>
        <w:t>合同内容所规定</w:t>
      </w:r>
      <w:r>
        <w:rPr>
          <w:rFonts w:ascii="Times New Roman" w:hAnsi="宋体" w:eastAsia="宋体"/>
          <w:color w:val="000000"/>
          <w:sz w:val="24"/>
          <w:szCs w:val="24"/>
        </w:rPr>
        <w:t>的全部工作。</w:t>
      </w:r>
    </w:p>
    <w:p>
      <w:pPr>
        <w:pStyle w:val="18"/>
        <w:spacing w:line="360" w:lineRule="auto"/>
        <w:ind w:firstLine="480" w:firstLineChars="200"/>
        <w:rPr>
          <w:rFonts w:ascii="Times New Roman" w:hAnsi="Times New Roman" w:eastAsia="宋体"/>
          <w:color w:val="000000"/>
          <w:sz w:val="24"/>
          <w:szCs w:val="24"/>
        </w:rPr>
      </w:pPr>
      <w:r>
        <w:rPr>
          <w:rFonts w:ascii="Times New Roman" w:hAnsi="Times New Roman" w:eastAsia="宋体"/>
          <w:color w:val="000000"/>
          <w:sz w:val="24"/>
          <w:szCs w:val="24"/>
        </w:rPr>
        <w:t>3、我方同意按</w:t>
      </w:r>
      <w:r>
        <w:rPr>
          <w:rFonts w:ascii="Times New Roman" w:hAnsi="宋体" w:eastAsia="宋体"/>
          <w:color w:val="000000"/>
          <w:sz w:val="24"/>
          <w:szCs w:val="24"/>
        </w:rPr>
        <w:t>招标文件中的规定，本投标书的有效期限为开标后</w:t>
      </w:r>
      <w:r>
        <w:rPr>
          <w:rFonts w:hint="eastAsia" w:ascii="Times New Roman" w:hAnsi="宋体" w:eastAsia="宋体"/>
          <w:color w:val="000000"/>
          <w:sz w:val="24"/>
          <w:szCs w:val="24"/>
          <w:u w:val="single"/>
        </w:rPr>
        <w:t>9</w:t>
      </w:r>
      <w:r>
        <w:rPr>
          <w:rFonts w:hint="eastAsia" w:ascii="Times New Roman" w:hAnsi="Times New Roman" w:eastAsia="宋体"/>
          <w:color w:val="000000"/>
          <w:sz w:val="24"/>
          <w:szCs w:val="24"/>
          <w:u w:val="single"/>
        </w:rPr>
        <w:t>0天</w:t>
      </w:r>
      <w:r>
        <w:rPr>
          <w:rFonts w:ascii="Times New Roman" w:hAnsi="宋体" w:eastAsia="宋体"/>
          <w:color w:val="000000"/>
          <w:sz w:val="24"/>
          <w:szCs w:val="24"/>
        </w:rPr>
        <w:t>如果我方在开标后规定的投标有效期内撤回投标，我方的投标保证金可被贵方没收。</w:t>
      </w:r>
    </w:p>
    <w:p>
      <w:pPr>
        <w:pStyle w:val="18"/>
        <w:spacing w:line="360" w:lineRule="auto"/>
        <w:ind w:firstLine="480" w:firstLineChars="200"/>
        <w:rPr>
          <w:rFonts w:ascii="Times New Roman" w:hAnsi="Times New Roman" w:eastAsia="宋体"/>
          <w:color w:val="000000"/>
          <w:sz w:val="24"/>
          <w:szCs w:val="24"/>
        </w:rPr>
      </w:pPr>
      <w:r>
        <w:rPr>
          <w:rFonts w:ascii="Times New Roman" w:hAnsi="Times New Roman" w:eastAsia="宋体"/>
          <w:color w:val="000000"/>
          <w:sz w:val="24"/>
          <w:szCs w:val="24"/>
        </w:rPr>
        <w:t>4</w:t>
      </w:r>
      <w:r>
        <w:rPr>
          <w:rFonts w:ascii="Times New Roman" w:hAnsi="宋体" w:eastAsia="宋体"/>
          <w:color w:val="000000"/>
          <w:sz w:val="24"/>
          <w:szCs w:val="24"/>
        </w:rPr>
        <w:t>、我方愿意提供招标方在招标文件中要求的所有资料。也同意向贵方提供贵方可能另外要求的与其投标有关的任何证据或资料。并保证所提供的资料全部是真实的、有效的，若有虚假，我方愿承担一切责任。</w:t>
      </w:r>
    </w:p>
    <w:p>
      <w:pPr>
        <w:pStyle w:val="18"/>
        <w:spacing w:line="360" w:lineRule="auto"/>
        <w:ind w:firstLine="480" w:firstLineChars="200"/>
        <w:rPr>
          <w:rFonts w:ascii="Times New Roman" w:hAnsi="宋体" w:eastAsia="宋体"/>
          <w:color w:val="000000"/>
          <w:sz w:val="24"/>
          <w:szCs w:val="24"/>
        </w:rPr>
      </w:pPr>
      <w:r>
        <w:rPr>
          <w:rFonts w:ascii="Times New Roman" w:hAnsi="Times New Roman" w:eastAsia="宋体"/>
          <w:color w:val="000000"/>
          <w:sz w:val="24"/>
          <w:szCs w:val="24"/>
        </w:rPr>
        <w:t>5</w:t>
      </w:r>
      <w:r>
        <w:rPr>
          <w:rFonts w:ascii="Times New Roman" w:hAnsi="宋体" w:eastAsia="宋体"/>
          <w:color w:val="000000"/>
          <w:sz w:val="24"/>
          <w:szCs w:val="24"/>
        </w:rPr>
        <w:t>、我方认为你们有权决定中标者，还认为你们有权接受或拒绝所有的投标者。</w:t>
      </w:r>
    </w:p>
    <w:p>
      <w:pPr>
        <w:pStyle w:val="18"/>
        <w:spacing w:line="360" w:lineRule="auto"/>
        <w:ind w:firstLine="480" w:firstLineChars="200"/>
        <w:rPr>
          <w:rFonts w:ascii="Times New Roman" w:hAnsi="Times New Roman" w:eastAsia="宋体"/>
          <w:color w:val="000000"/>
          <w:sz w:val="24"/>
          <w:szCs w:val="24"/>
        </w:rPr>
      </w:pPr>
      <w:r>
        <w:rPr>
          <w:rFonts w:hint="eastAsia" w:ascii="Times New Roman" w:hAnsi="宋体" w:eastAsia="宋体"/>
          <w:color w:val="000000"/>
          <w:sz w:val="24"/>
          <w:szCs w:val="24"/>
        </w:rPr>
        <w:t>6、</w:t>
      </w:r>
      <w:r>
        <w:rPr>
          <w:rFonts w:ascii="Times New Roman" w:hAnsi="宋体" w:eastAsia="宋体"/>
          <w:color w:val="000000"/>
          <w:sz w:val="24"/>
          <w:szCs w:val="24"/>
        </w:rPr>
        <w:t>我方同意因</w:t>
      </w:r>
      <w:r>
        <w:rPr>
          <w:rFonts w:hint="eastAsia" w:ascii="Times New Roman" w:hAnsi="宋体" w:eastAsia="宋体"/>
          <w:color w:val="000000"/>
          <w:sz w:val="24"/>
          <w:szCs w:val="24"/>
        </w:rPr>
        <w:t>在提供服务过程中的不当</w:t>
      </w:r>
      <w:r>
        <w:rPr>
          <w:rFonts w:ascii="Times New Roman" w:hAnsi="宋体" w:eastAsia="宋体"/>
          <w:color w:val="000000"/>
          <w:sz w:val="24"/>
          <w:szCs w:val="24"/>
        </w:rPr>
        <w:t>，造成</w:t>
      </w:r>
      <w:r>
        <w:rPr>
          <w:rFonts w:hint="eastAsia" w:ascii="Times New Roman" w:hAnsi="宋体" w:eastAsia="宋体"/>
          <w:color w:val="000000"/>
          <w:sz w:val="24"/>
          <w:szCs w:val="24"/>
        </w:rPr>
        <w:t>招标方</w:t>
      </w:r>
      <w:r>
        <w:rPr>
          <w:rFonts w:ascii="Times New Roman" w:hAnsi="宋体" w:eastAsia="宋体"/>
          <w:color w:val="000000"/>
          <w:sz w:val="24"/>
          <w:szCs w:val="24"/>
        </w:rPr>
        <w:t>设施、设备损坏的，</w:t>
      </w:r>
      <w:r>
        <w:rPr>
          <w:rFonts w:hint="eastAsia" w:ascii="Times New Roman" w:hAnsi="宋体" w:eastAsia="宋体"/>
          <w:color w:val="000000"/>
          <w:sz w:val="24"/>
          <w:szCs w:val="24"/>
        </w:rPr>
        <w:t>招标方有权要求我方全额赔偿</w:t>
      </w:r>
      <w:r>
        <w:rPr>
          <w:rFonts w:ascii="Times New Roman" w:hAnsi="宋体" w:eastAsia="宋体"/>
          <w:color w:val="000000"/>
          <w:sz w:val="24"/>
          <w:szCs w:val="24"/>
        </w:rPr>
        <w:t>。</w:t>
      </w:r>
    </w:p>
    <w:p>
      <w:pPr>
        <w:pStyle w:val="18"/>
        <w:spacing w:line="360" w:lineRule="auto"/>
        <w:ind w:firstLine="480" w:firstLineChars="200"/>
        <w:rPr>
          <w:rFonts w:ascii="Times New Roman" w:hAnsi="Times New Roman" w:eastAsia="宋体"/>
          <w:color w:val="000000"/>
          <w:sz w:val="24"/>
          <w:szCs w:val="24"/>
        </w:rPr>
      </w:pPr>
      <w:r>
        <w:rPr>
          <w:rFonts w:hint="eastAsia" w:ascii="Times New Roman" w:hAnsi="宋体" w:eastAsia="宋体"/>
          <w:color w:val="000000"/>
          <w:sz w:val="24"/>
          <w:szCs w:val="24"/>
        </w:rPr>
        <w:t>7</w:t>
      </w:r>
      <w:r>
        <w:rPr>
          <w:rFonts w:ascii="Times New Roman" w:hAnsi="宋体" w:eastAsia="宋体"/>
          <w:color w:val="000000"/>
          <w:sz w:val="24"/>
          <w:szCs w:val="24"/>
        </w:rPr>
        <w:t>、我方愿意遵守招标公告及招标文件中所列的收费标准。</w:t>
      </w:r>
    </w:p>
    <w:p>
      <w:pPr>
        <w:pStyle w:val="18"/>
        <w:spacing w:line="360" w:lineRule="auto"/>
        <w:ind w:firstLine="480" w:firstLineChars="200"/>
        <w:rPr>
          <w:rFonts w:ascii="Times New Roman" w:hAnsi="Times New Roman" w:eastAsia="宋体"/>
          <w:color w:val="000000"/>
          <w:sz w:val="24"/>
          <w:szCs w:val="24"/>
        </w:rPr>
      </w:pPr>
      <w:r>
        <w:rPr>
          <w:rFonts w:hint="eastAsia" w:ascii="Times New Roman" w:hAnsi="Times New Roman" w:eastAsia="宋体"/>
          <w:color w:val="000000"/>
          <w:sz w:val="24"/>
          <w:szCs w:val="24"/>
        </w:rPr>
        <w:t>8</w:t>
      </w:r>
      <w:r>
        <w:rPr>
          <w:rFonts w:ascii="Times New Roman" w:hAnsi="宋体" w:eastAsia="宋体"/>
          <w:color w:val="000000"/>
          <w:sz w:val="24"/>
          <w:szCs w:val="24"/>
        </w:rPr>
        <w:t>、我方承诺该项投标在开标后的全过程中保持有效，不作任何更改和变动。我方同意中标后若不履行投标文件的内容要求和各项承诺及义务的即被视为违约，其中标资格将被取消。</w:t>
      </w:r>
    </w:p>
    <w:p>
      <w:pPr>
        <w:pStyle w:val="18"/>
        <w:spacing w:line="360" w:lineRule="auto"/>
        <w:ind w:firstLine="480" w:firstLineChars="200"/>
        <w:rPr>
          <w:rFonts w:ascii="Times New Roman" w:hAnsi="Times New Roman" w:eastAsia="宋体"/>
          <w:color w:val="000000"/>
          <w:sz w:val="24"/>
          <w:szCs w:val="24"/>
        </w:rPr>
      </w:pPr>
      <w:r>
        <w:rPr>
          <w:rFonts w:hint="eastAsia" w:ascii="Times New Roman" w:hAnsi="宋体" w:eastAsia="宋体"/>
          <w:color w:val="000000"/>
          <w:sz w:val="24"/>
          <w:szCs w:val="24"/>
        </w:rPr>
        <w:t>9</w:t>
      </w:r>
      <w:r>
        <w:rPr>
          <w:rFonts w:ascii="Times New Roman" w:hAnsi="宋体" w:eastAsia="宋体"/>
          <w:color w:val="000000"/>
          <w:sz w:val="24"/>
          <w:szCs w:val="24"/>
        </w:rPr>
        <w:t>、我方同意中标方若无法按约定条款履行义务等行为，招标方有权取消其中标资格。</w:t>
      </w:r>
    </w:p>
    <w:p>
      <w:pPr>
        <w:pStyle w:val="18"/>
        <w:spacing w:line="360" w:lineRule="auto"/>
        <w:ind w:firstLine="480" w:firstLineChars="200"/>
        <w:rPr>
          <w:rFonts w:ascii="Times New Roman" w:hAnsi="Times New Roman" w:eastAsia="宋体"/>
          <w:color w:val="000000"/>
          <w:sz w:val="24"/>
          <w:szCs w:val="24"/>
        </w:rPr>
      </w:pPr>
      <w:r>
        <w:rPr>
          <w:rFonts w:ascii="Times New Roman" w:hAnsi="Times New Roman" w:eastAsia="宋体"/>
          <w:color w:val="000000"/>
          <w:sz w:val="24"/>
          <w:szCs w:val="24"/>
        </w:rPr>
        <w:t>1</w:t>
      </w:r>
      <w:r>
        <w:rPr>
          <w:rFonts w:hint="eastAsia" w:ascii="Times New Roman" w:hAnsi="Times New Roman" w:eastAsia="宋体"/>
          <w:color w:val="000000"/>
          <w:sz w:val="24"/>
          <w:szCs w:val="24"/>
          <w:lang w:val="en-US" w:eastAsia="zh-CN"/>
        </w:rPr>
        <w:t>0</w:t>
      </w:r>
      <w:r>
        <w:rPr>
          <w:rFonts w:ascii="Times New Roman" w:hAnsi="Times New Roman" w:eastAsia="宋体"/>
          <w:color w:val="000000"/>
          <w:sz w:val="24"/>
          <w:szCs w:val="24"/>
        </w:rPr>
        <w:t>、与本投标有关的通讯地址：</w:t>
      </w:r>
    </w:p>
    <w:p>
      <w:pPr>
        <w:pStyle w:val="18"/>
        <w:spacing w:line="360" w:lineRule="auto"/>
        <w:ind w:firstLine="480" w:firstLineChars="200"/>
        <w:rPr>
          <w:rFonts w:ascii="Times New Roman" w:hAnsi="Times New Roman" w:eastAsia="宋体"/>
          <w:color w:val="000000"/>
          <w:sz w:val="24"/>
          <w:szCs w:val="24"/>
          <w:u w:val="single"/>
        </w:rPr>
      </w:pPr>
      <w:r>
        <w:rPr>
          <w:rFonts w:ascii="Times New Roman" w:hAnsi="宋体" w:eastAsia="宋体"/>
          <w:color w:val="000000"/>
          <w:sz w:val="24"/>
          <w:szCs w:val="24"/>
        </w:rPr>
        <w:t>单</w:t>
      </w:r>
      <w:r>
        <w:rPr>
          <w:rFonts w:hint="eastAsia" w:ascii="Times New Roman" w:hAnsi="宋体" w:eastAsia="宋体"/>
          <w:color w:val="000000"/>
          <w:sz w:val="24"/>
          <w:szCs w:val="24"/>
        </w:rPr>
        <w:t xml:space="preserve">    </w:t>
      </w:r>
      <w:r>
        <w:rPr>
          <w:rFonts w:ascii="Times New Roman" w:hAnsi="宋体" w:eastAsia="宋体"/>
          <w:color w:val="000000"/>
          <w:sz w:val="24"/>
          <w:szCs w:val="24"/>
        </w:rPr>
        <w:t>位：</w:t>
      </w:r>
      <w:r>
        <w:rPr>
          <w:rFonts w:ascii="Times New Roman" w:hAnsi="Times New Roman" w:eastAsia="宋体"/>
          <w:color w:val="000000"/>
          <w:sz w:val="24"/>
          <w:szCs w:val="24"/>
        </w:rPr>
        <w:t xml:space="preserve"> </w:t>
      </w:r>
      <w:r>
        <w:rPr>
          <w:rFonts w:ascii="Times New Roman" w:hAnsi="Times New Roman" w:eastAsia="宋体"/>
          <w:color w:val="000000"/>
          <w:sz w:val="24"/>
          <w:szCs w:val="24"/>
          <w:u w:val="single"/>
        </w:rPr>
        <w:t xml:space="preserve">                                </w:t>
      </w:r>
      <w:r>
        <w:rPr>
          <w:rFonts w:ascii="Times New Roman" w:hAnsi="宋体" w:eastAsia="宋体"/>
          <w:color w:val="000000"/>
          <w:sz w:val="24"/>
          <w:szCs w:val="24"/>
        </w:rPr>
        <w:t>联</w:t>
      </w:r>
      <w:r>
        <w:rPr>
          <w:rFonts w:hint="eastAsia" w:ascii="Times New Roman" w:hAnsi="宋体" w:eastAsia="宋体"/>
          <w:color w:val="000000"/>
          <w:sz w:val="24"/>
          <w:szCs w:val="24"/>
        </w:rPr>
        <w:t xml:space="preserve"> </w:t>
      </w:r>
      <w:r>
        <w:rPr>
          <w:rFonts w:ascii="Times New Roman" w:hAnsi="宋体" w:eastAsia="宋体"/>
          <w:color w:val="000000"/>
          <w:sz w:val="24"/>
          <w:szCs w:val="24"/>
        </w:rPr>
        <w:t>系</w:t>
      </w:r>
      <w:r>
        <w:rPr>
          <w:rFonts w:hint="eastAsia" w:ascii="Times New Roman" w:hAnsi="宋体" w:eastAsia="宋体"/>
          <w:color w:val="000000"/>
          <w:sz w:val="24"/>
          <w:szCs w:val="24"/>
        </w:rPr>
        <w:t xml:space="preserve"> </w:t>
      </w:r>
      <w:r>
        <w:rPr>
          <w:rFonts w:ascii="Times New Roman" w:hAnsi="宋体" w:eastAsia="宋体"/>
          <w:color w:val="000000"/>
          <w:sz w:val="24"/>
          <w:szCs w:val="24"/>
        </w:rPr>
        <w:t>人：</w:t>
      </w:r>
      <w:r>
        <w:rPr>
          <w:rFonts w:ascii="Times New Roman" w:hAnsi="Times New Roman" w:eastAsia="宋体"/>
          <w:color w:val="000000"/>
          <w:sz w:val="24"/>
          <w:szCs w:val="24"/>
          <w:u w:val="single"/>
        </w:rPr>
        <w:t xml:space="preserve">                   </w:t>
      </w:r>
    </w:p>
    <w:p>
      <w:pPr>
        <w:pStyle w:val="18"/>
        <w:spacing w:line="360" w:lineRule="auto"/>
        <w:ind w:firstLine="480" w:firstLineChars="200"/>
        <w:rPr>
          <w:rFonts w:ascii="Times New Roman" w:hAnsi="Times New Roman" w:eastAsia="宋体"/>
          <w:color w:val="000000"/>
          <w:sz w:val="24"/>
          <w:szCs w:val="24"/>
          <w:u w:val="single"/>
        </w:rPr>
      </w:pPr>
      <w:r>
        <w:rPr>
          <w:rFonts w:ascii="Times New Roman" w:hAnsi="宋体" w:eastAsia="宋体"/>
          <w:color w:val="000000"/>
          <w:sz w:val="24"/>
          <w:szCs w:val="24"/>
        </w:rPr>
        <w:t>地</w:t>
      </w:r>
      <w:r>
        <w:rPr>
          <w:rFonts w:hint="eastAsia" w:ascii="Times New Roman" w:hAnsi="宋体" w:eastAsia="宋体"/>
          <w:color w:val="000000"/>
          <w:sz w:val="24"/>
          <w:szCs w:val="24"/>
        </w:rPr>
        <w:t xml:space="preserve">    </w:t>
      </w:r>
      <w:r>
        <w:rPr>
          <w:rFonts w:ascii="Times New Roman" w:hAnsi="宋体" w:eastAsia="宋体"/>
          <w:color w:val="000000"/>
          <w:sz w:val="24"/>
          <w:szCs w:val="24"/>
        </w:rPr>
        <w:t>址：</w:t>
      </w:r>
      <w:r>
        <w:rPr>
          <w:rFonts w:ascii="Times New Roman" w:hAnsi="Times New Roman" w:eastAsia="宋体"/>
          <w:color w:val="000000"/>
          <w:sz w:val="24"/>
          <w:szCs w:val="24"/>
          <w:u w:val="single"/>
        </w:rPr>
        <w:t xml:space="preserve">                                </w:t>
      </w:r>
      <w:r>
        <w:rPr>
          <w:rFonts w:ascii="Times New Roman" w:hAnsi="Times New Roman" w:eastAsia="宋体"/>
          <w:color w:val="000000"/>
          <w:sz w:val="24"/>
          <w:szCs w:val="24"/>
        </w:rPr>
        <w:t xml:space="preserve"> </w:t>
      </w:r>
      <w:r>
        <w:rPr>
          <w:rFonts w:ascii="Times New Roman" w:hAnsi="宋体" w:eastAsia="宋体"/>
          <w:color w:val="000000"/>
          <w:sz w:val="24"/>
          <w:szCs w:val="24"/>
        </w:rPr>
        <w:t>邮政编码：</w:t>
      </w:r>
      <w:r>
        <w:rPr>
          <w:rFonts w:ascii="Times New Roman" w:hAnsi="Times New Roman" w:eastAsia="宋体"/>
          <w:color w:val="000000"/>
          <w:sz w:val="24"/>
          <w:szCs w:val="24"/>
          <w:u w:val="single"/>
        </w:rPr>
        <w:t xml:space="preserve">                </w:t>
      </w:r>
    </w:p>
    <w:p>
      <w:pPr>
        <w:pStyle w:val="18"/>
        <w:spacing w:line="360" w:lineRule="auto"/>
        <w:ind w:firstLine="480" w:firstLineChars="200"/>
        <w:rPr>
          <w:rFonts w:ascii="Times New Roman" w:hAnsi="宋体" w:eastAsia="宋体"/>
          <w:color w:val="000000"/>
          <w:sz w:val="24"/>
          <w:szCs w:val="24"/>
        </w:rPr>
      </w:pPr>
      <w:r>
        <w:rPr>
          <w:rFonts w:ascii="Times New Roman" w:hAnsi="宋体" w:eastAsia="宋体"/>
          <w:color w:val="000000"/>
          <w:sz w:val="24"/>
          <w:szCs w:val="24"/>
        </w:rPr>
        <w:t>联系电话：</w:t>
      </w:r>
      <w:r>
        <w:rPr>
          <w:rFonts w:ascii="Times New Roman" w:hAnsi="Times New Roman" w:eastAsia="宋体"/>
          <w:color w:val="000000"/>
          <w:sz w:val="24"/>
          <w:szCs w:val="24"/>
          <w:u w:val="single"/>
        </w:rPr>
        <w:t xml:space="preserve">               </w:t>
      </w:r>
      <w:r>
        <w:rPr>
          <w:rFonts w:hint="eastAsia" w:ascii="Times New Roman" w:hAnsi="Times New Roman" w:eastAsia="宋体"/>
          <w:color w:val="000000"/>
          <w:sz w:val="24"/>
          <w:szCs w:val="24"/>
          <w:u w:val="single"/>
        </w:rPr>
        <w:t xml:space="preserve">    </w:t>
      </w:r>
      <w:r>
        <w:rPr>
          <w:rFonts w:ascii="Times New Roman" w:hAnsi="Times New Roman" w:eastAsia="宋体"/>
          <w:color w:val="000000"/>
          <w:sz w:val="24"/>
          <w:szCs w:val="24"/>
          <w:u w:val="single"/>
        </w:rPr>
        <w:t xml:space="preserve">             </w:t>
      </w:r>
      <w:r>
        <w:rPr>
          <w:rFonts w:ascii="Times New Roman" w:hAnsi="Times New Roman" w:eastAsia="宋体"/>
          <w:color w:val="000000"/>
          <w:sz w:val="24"/>
          <w:szCs w:val="24"/>
        </w:rPr>
        <w:t xml:space="preserve"> </w:t>
      </w:r>
      <w:r>
        <w:rPr>
          <w:rFonts w:ascii="Times New Roman" w:hAnsi="宋体" w:eastAsia="宋体"/>
          <w:color w:val="000000"/>
          <w:sz w:val="24"/>
          <w:szCs w:val="24"/>
        </w:rPr>
        <w:t>传</w:t>
      </w:r>
      <w:r>
        <w:rPr>
          <w:rFonts w:hint="eastAsia" w:ascii="Times New Roman" w:hAnsi="宋体" w:eastAsia="宋体"/>
          <w:color w:val="000000"/>
          <w:sz w:val="24"/>
          <w:szCs w:val="24"/>
        </w:rPr>
        <w:t xml:space="preserve">    </w:t>
      </w:r>
      <w:r>
        <w:rPr>
          <w:rFonts w:ascii="Times New Roman" w:hAnsi="宋体" w:eastAsia="宋体"/>
          <w:color w:val="000000"/>
          <w:sz w:val="24"/>
          <w:szCs w:val="24"/>
        </w:rPr>
        <w:t>真：</w:t>
      </w:r>
      <w:r>
        <w:rPr>
          <w:rFonts w:ascii="Times New Roman" w:hAnsi="Times New Roman" w:eastAsia="宋体"/>
          <w:color w:val="000000"/>
          <w:sz w:val="24"/>
          <w:szCs w:val="24"/>
          <w:u w:val="single"/>
        </w:rPr>
        <w:t xml:space="preserve">                    </w:t>
      </w:r>
    </w:p>
    <w:p>
      <w:pPr>
        <w:pStyle w:val="10"/>
        <w:spacing w:before="0" w:beforeAutospacing="0" w:after="0" w:afterAutospacing="0" w:line="360" w:lineRule="auto"/>
        <w:rPr>
          <w:rFonts w:ascii="Times New Roman"/>
          <w:color w:val="000000"/>
        </w:rPr>
      </w:pPr>
      <w:r>
        <w:rPr>
          <w:rFonts w:hint="eastAsia" w:ascii="Times New Roman"/>
          <w:color w:val="000000"/>
        </w:rPr>
        <w:t xml:space="preserve">                                  </w:t>
      </w:r>
      <w:r>
        <w:rPr>
          <w:rFonts w:hint="eastAsia"/>
        </w:rPr>
        <w:t>投标单位：（公章）</w:t>
      </w:r>
    </w:p>
    <w:p>
      <w:pPr>
        <w:pStyle w:val="10"/>
        <w:spacing w:before="0" w:beforeAutospacing="0" w:after="0" w:afterAutospacing="0" w:line="360" w:lineRule="auto"/>
      </w:pPr>
      <w:r>
        <w:rPr>
          <w:rFonts w:hint="eastAsia"/>
        </w:rPr>
        <w:t xml:space="preserve">                                法定代表人：（签字或盖章）</w:t>
      </w:r>
    </w:p>
    <w:p>
      <w:pPr>
        <w:pStyle w:val="10"/>
        <w:spacing w:before="0" w:beforeAutospacing="0" w:after="0" w:afterAutospacing="0" w:line="360" w:lineRule="auto"/>
      </w:pPr>
      <w:r>
        <w:rPr>
          <w:rFonts w:hint="eastAsia"/>
        </w:rPr>
        <w:t xml:space="preserve">                                   代理人：（签字或盖章）    </w:t>
      </w:r>
    </w:p>
    <w:p>
      <w:pPr>
        <w:snapToGrid w:val="0"/>
        <w:spacing w:line="360" w:lineRule="auto"/>
      </w:pPr>
      <w:r>
        <w:rPr>
          <w:rFonts w:hint="eastAsia"/>
        </w:rPr>
        <w:t xml:space="preserve">                                                   </w:t>
      </w:r>
      <w:r>
        <w:rPr>
          <w:rFonts w:hint="eastAsia"/>
          <w:lang w:val="en-US" w:eastAsia="zh-CN"/>
        </w:rPr>
        <w:t xml:space="preserve">               </w:t>
      </w:r>
      <w:r>
        <w:rPr>
          <w:rFonts w:hint="eastAsia"/>
        </w:rPr>
        <w:t xml:space="preserve">  年    月    日</w:t>
      </w:r>
    </w:p>
    <w:p>
      <w:pPr>
        <w:snapToGrid w:val="0"/>
        <w:spacing w:before="50" w:after="156" w:afterLines="50"/>
        <w:rPr>
          <w:rFonts w:hint="eastAsia"/>
          <w:sz w:val="30"/>
          <w:szCs w:val="30"/>
        </w:rPr>
        <w:sectPr>
          <w:pgSz w:w="11906" w:h="16838"/>
          <w:pgMar w:top="1134" w:right="1418" w:bottom="1134" w:left="1418" w:header="851" w:footer="992" w:gutter="0"/>
          <w:cols w:space="425" w:num="1"/>
          <w:docGrid w:type="lines" w:linePitch="312" w:charSpace="0"/>
        </w:sectPr>
      </w:pPr>
    </w:p>
    <w:p>
      <w:pPr>
        <w:numPr>
          <w:ilvl w:val="0"/>
          <w:numId w:val="10"/>
        </w:numPr>
        <w:snapToGrid w:val="0"/>
        <w:spacing w:before="50" w:after="156" w:afterLines="5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开标一览表</w:t>
      </w:r>
    </w:p>
    <w:p>
      <w:pPr>
        <w:numPr>
          <w:numId w:val="0"/>
        </w:numPr>
        <w:snapToGrid w:val="0"/>
        <w:spacing w:before="50" w:after="156" w:afterLines="50"/>
        <w:rPr>
          <w:rFonts w:hint="eastAsia" w:ascii="宋体" w:hAnsi="宋体" w:eastAsia="宋体" w:cs="Times New Roman"/>
          <w:color w:val="000000"/>
          <w:kern w:val="2"/>
          <w:sz w:val="24"/>
          <w:szCs w:val="24"/>
          <w:lang w:val="en-US" w:eastAsia="zh-CN" w:bidi="ar-SA"/>
        </w:rPr>
      </w:pPr>
    </w:p>
    <w:p>
      <w:pPr>
        <w:ind w:firstLine="480"/>
        <w:rPr>
          <w:rFonts w:hint="eastAsia" w:ascii="宋体" w:hAnsi="宋体"/>
          <w:sz w:val="24"/>
        </w:rPr>
      </w:pPr>
      <w:r>
        <w:rPr>
          <w:rFonts w:hint="eastAsia" w:ascii="宋体" w:hAnsi="宋体"/>
          <w:sz w:val="24"/>
        </w:rPr>
        <w:t>投标人全称（加盖公章）：                 被授权代表签名：</w:t>
      </w:r>
    </w:p>
    <w:p>
      <w:pPr>
        <w:ind w:firstLine="480"/>
        <w:rPr>
          <w:rFonts w:hint="eastAsia" w:ascii="宋体" w:hAnsi="宋体"/>
          <w:sz w:val="24"/>
        </w:rPr>
      </w:pPr>
    </w:p>
    <w:p>
      <w:pPr>
        <w:ind w:firstLine="480"/>
        <w:rPr>
          <w:rFonts w:ascii="宋体" w:hAnsi="宋体"/>
          <w:sz w:val="24"/>
        </w:rPr>
      </w:pPr>
      <w:r>
        <w:rPr>
          <w:rFonts w:hint="eastAsia" w:ascii="宋体" w:hAnsi="宋体"/>
          <w:sz w:val="24"/>
        </w:rPr>
        <w:t xml:space="preserve">项目编号：                                   </w:t>
      </w:r>
    </w:p>
    <w:tbl>
      <w:tblPr>
        <w:tblStyle w:val="14"/>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rPr>
                <w:rFonts w:ascii="宋体" w:hAnsi="宋体" w:cs="宋体"/>
                <w:sz w:val="24"/>
              </w:rPr>
            </w:pPr>
            <w:r>
              <w:rPr>
                <w:rFonts w:hint="eastAsia" w:ascii="宋体" w:hAnsi="宋体" w:cs="宋体"/>
                <w:sz w:val="24"/>
              </w:rPr>
              <w:t xml:space="preserve">    项目名称</w:t>
            </w:r>
          </w:p>
        </w:tc>
        <w:tc>
          <w:tcPr>
            <w:tcW w:w="640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cs="宋体"/>
                <w:sz w:val="24"/>
              </w:rPr>
              <w:t xml:space="preserve">                      </w:t>
            </w:r>
            <w:r>
              <w:rPr>
                <w:rFonts w:hint="eastAsia" w:ascii="宋体" w:hAnsi="宋体"/>
                <w:sz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4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rPr>
                <w:rFonts w:ascii="宋体" w:hAnsi="宋体" w:cs="宋体"/>
                <w:sz w:val="24"/>
              </w:rPr>
            </w:pPr>
          </w:p>
        </w:tc>
        <w:tc>
          <w:tcPr>
            <w:tcW w:w="64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rPr>
                <w:rFonts w:ascii="宋体" w:hAnsi="宋体" w:cs="宋体"/>
                <w:sz w:val="24"/>
              </w:rPr>
            </w:pPr>
            <w:r>
              <w:rPr>
                <w:rFonts w:hint="eastAsia" w:ascii="宋体" w:hAnsi="宋体" w:cs="宋体"/>
                <w:sz w:val="24"/>
              </w:rPr>
              <w:t>大写：</w:t>
            </w:r>
          </w:p>
          <w:p>
            <w:pPr>
              <w:adjustRightInd w:val="0"/>
              <w:spacing w:line="500" w:lineRule="exact"/>
              <w:jc w:val="left"/>
              <w:textAlignment w:val="baseline"/>
              <w:rPr>
                <w:rFonts w:ascii="宋体" w:hAnsi="宋体"/>
                <w:sz w:val="24"/>
                <w:szCs w:val="21"/>
              </w:rPr>
            </w:pPr>
            <w:r>
              <w:rPr>
                <w:rFonts w:hint="eastAsia" w:ascii="宋体" w:hAnsi="宋体" w:cs="宋体"/>
                <w:kern w:val="0"/>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cs="宋体"/>
                <w:sz w:val="24"/>
              </w:rPr>
            </w:pPr>
            <w:r>
              <w:rPr>
                <w:rFonts w:hint="eastAsia" w:ascii="宋体" w:hAnsi="宋体" w:cs="宋体"/>
                <w:sz w:val="24"/>
              </w:rPr>
              <w:t>免费质保期</w:t>
            </w:r>
          </w:p>
        </w:tc>
        <w:tc>
          <w:tcPr>
            <w:tcW w:w="64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cs="宋体"/>
                <w:sz w:val="24"/>
              </w:rPr>
            </w:pPr>
            <w:r>
              <w:rPr>
                <w:rFonts w:hint="eastAsia" w:ascii="宋体" w:hAnsi="宋体" w:cs="宋体"/>
                <w:sz w:val="24"/>
              </w:rPr>
              <w:t>供货期</w:t>
            </w:r>
          </w:p>
        </w:tc>
        <w:tc>
          <w:tcPr>
            <w:tcW w:w="64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4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rPr>
                <w:rFonts w:ascii="宋体" w:hAnsi="宋体" w:cs="宋体"/>
                <w:sz w:val="24"/>
              </w:rPr>
            </w:pPr>
            <w:r>
              <w:rPr>
                <w:rFonts w:hint="eastAsia" w:ascii="宋体" w:hAnsi="宋体" w:cs="宋体"/>
                <w:sz w:val="24"/>
              </w:rPr>
              <w:t>主要货物生产者及产地</w:t>
            </w:r>
          </w:p>
        </w:tc>
        <w:tc>
          <w:tcPr>
            <w:tcW w:w="64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ind w:firstLine="1560" w:firstLineChars="650"/>
              <w:rPr>
                <w:rFonts w:ascii="宋体" w:hAnsi="宋体" w:cs="宋体"/>
                <w:sz w:val="24"/>
              </w:rPr>
            </w:pPr>
          </w:p>
        </w:tc>
      </w:tr>
    </w:tbl>
    <w:p>
      <w:pPr>
        <w:ind w:firstLine="480"/>
        <w:rPr>
          <w:rFonts w:hint="eastAsia" w:ascii="宋体" w:hAnsi="宋体"/>
          <w:sz w:val="24"/>
        </w:rPr>
      </w:pPr>
      <w:r>
        <w:rPr>
          <w:rFonts w:hint="eastAsia" w:ascii="宋体" w:hAnsi="宋体"/>
          <w:sz w:val="24"/>
        </w:rPr>
        <w:t xml:space="preserve">                                         </w:t>
      </w:r>
    </w:p>
    <w:p>
      <w:pPr>
        <w:ind w:firstLine="5342" w:firstLineChars="2226"/>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日期：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ind w:firstLine="5342" w:firstLineChars="2226"/>
        <w:rPr>
          <w:rFonts w:hint="eastAsia" w:ascii="宋体" w:hAnsi="宋体"/>
          <w:sz w:val="24"/>
        </w:rPr>
      </w:pPr>
    </w:p>
    <w:p>
      <w:pPr>
        <w:ind w:firstLine="480"/>
        <w:rPr>
          <w:rFonts w:ascii="宋体" w:hAnsi="宋体"/>
          <w:sz w:val="24"/>
        </w:rPr>
      </w:pPr>
      <w:r>
        <w:rPr>
          <w:rFonts w:hint="eastAsia" w:ascii="宋体" w:hAnsi="宋体"/>
          <w:sz w:val="24"/>
        </w:rPr>
        <w:t>填写说明：</w:t>
      </w:r>
    </w:p>
    <w:p>
      <w:pPr>
        <w:ind w:firstLine="482" w:firstLineChars="200"/>
        <w:rPr>
          <w:rFonts w:ascii="宋体" w:hAnsi="宋体"/>
          <w:b/>
          <w:color w:val="000000"/>
          <w:sz w:val="24"/>
          <w:szCs w:val="21"/>
        </w:rPr>
      </w:pPr>
      <w:r>
        <w:rPr>
          <w:rFonts w:hint="eastAsia" w:ascii="宋体" w:hAnsi="宋体"/>
          <w:b/>
          <w:color w:val="000000"/>
          <w:sz w:val="24"/>
          <w:szCs w:val="21"/>
        </w:rPr>
        <w:t>1.</w:t>
      </w:r>
      <w:r>
        <w:rPr>
          <w:rFonts w:hint="eastAsia" w:ascii="宋体" w:hAnsi="宋体"/>
          <w:b/>
          <w:bCs/>
          <w:iCs/>
          <w:color w:val="000000"/>
          <w:sz w:val="24"/>
          <w:szCs w:val="21"/>
          <w:u w:val="single"/>
        </w:rPr>
        <w:t>开标一览表必须加盖投标单位公章（复印件无效），被授权代表签名</w:t>
      </w:r>
      <w:r>
        <w:rPr>
          <w:rFonts w:hint="eastAsia" w:ascii="宋体" w:hAnsi="宋体"/>
          <w:b/>
          <w:color w:val="000000"/>
          <w:sz w:val="24"/>
          <w:szCs w:val="21"/>
        </w:rPr>
        <w:t>；</w:t>
      </w:r>
    </w:p>
    <w:p>
      <w:pPr>
        <w:ind w:firstLine="480"/>
        <w:rPr>
          <w:rFonts w:ascii="宋体" w:hAnsi="宋体"/>
          <w:sz w:val="24"/>
        </w:rPr>
      </w:pPr>
      <w:r>
        <w:rPr>
          <w:rFonts w:hint="eastAsia" w:ascii="宋体" w:hAnsi="宋体"/>
          <w:color w:val="000000"/>
          <w:sz w:val="24"/>
          <w:szCs w:val="21"/>
        </w:rPr>
        <w:t>2.标书中要另附明细报价，且不可缺漏设备配置；</w:t>
      </w:r>
    </w:p>
    <w:p>
      <w:pPr>
        <w:ind w:firstLine="465"/>
        <w:rPr>
          <w:rFonts w:ascii="宋体" w:hAnsi="宋体"/>
          <w:sz w:val="24"/>
        </w:rPr>
      </w:pPr>
      <w:r>
        <w:rPr>
          <w:rFonts w:hint="eastAsia" w:ascii="宋体" w:hAnsi="宋体"/>
          <w:sz w:val="24"/>
        </w:rPr>
        <w:t>3.如有分包，投标人投任何一个包的标的，都需单独填写开标一览表。</w:t>
      </w:r>
    </w:p>
    <w:p>
      <w:pPr>
        <w:pStyle w:val="10"/>
        <w:spacing w:before="0" w:beforeAutospacing="0" w:after="0" w:afterAutospacing="0" w:line="360" w:lineRule="auto"/>
      </w:pPr>
      <w:r>
        <w:rPr>
          <w:rFonts w:cs="Times New Roman"/>
          <w:kern w:val="2"/>
        </w:rPr>
        <w:br w:type="page"/>
      </w:r>
    </w:p>
    <w:p>
      <w:pPr>
        <w:pStyle w:val="10"/>
        <w:numPr>
          <w:ilvl w:val="0"/>
          <w:numId w:val="10"/>
        </w:numPr>
        <w:spacing w:before="0" w:beforeAutospacing="0" w:after="0" w:afterAutospacing="0" w:line="360" w:lineRule="auto"/>
        <w:rPr>
          <w:rFonts w:hint="eastAsia"/>
        </w:rPr>
      </w:pPr>
      <w:r>
        <w:rPr>
          <w:rFonts w:hint="eastAsia"/>
        </w:rPr>
        <w:t>投标单位法定代表人授权委托书</w:t>
      </w:r>
    </w:p>
    <w:p>
      <w:pPr>
        <w:pStyle w:val="10"/>
        <w:numPr>
          <w:numId w:val="0"/>
        </w:numPr>
        <w:spacing w:before="0" w:beforeAutospacing="0" w:after="0" w:afterAutospacing="0" w:line="360" w:lineRule="auto"/>
        <w:rPr>
          <w:rFonts w:hint="eastAsia"/>
        </w:rPr>
      </w:pPr>
    </w:p>
    <w:p>
      <w:pPr>
        <w:pStyle w:val="10"/>
        <w:spacing w:before="0" w:beforeAutospacing="0" w:after="0" w:afterAutospacing="0" w:line="360" w:lineRule="auto"/>
        <w:jc w:val="center"/>
        <w:rPr>
          <w:b/>
        </w:rPr>
      </w:pPr>
      <w:r>
        <w:rPr>
          <w:rFonts w:hint="eastAsia"/>
          <w:b/>
        </w:rPr>
        <w:t>授权委托书</w:t>
      </w:r>
    </w:p>
    <w:p>
      <w:pPr>
        <w:pStyle w:val="10"/>
        <w:spacing w:before="0" w:beforeAutospacing="0" w:after="0" w:afterAutospacing="0" w:line="360" w:lineRule="auto"/>
        <w:ind w:firstLine="480" w:firstLineChars="200"/>
      </w:pPr>
      <w:r>
        <w:t>本授权</w:t>
      </w:r>
      <w:r>
        <w:rPr>
          <w:rFonts w:hint="eastAsia"/>
        </w:rPr>
        <w:t>委托</w:t>
      </w:r>
      <w:r>
        <w:t xml:space="preserve">书声明：我 </w:t>
      </w:r>
      <w:r>
        <w:rPr>
          <w:u w:val="single"/>
        </w:rPr>
        <w:t xml:space="preserve">    </w:t>
      </w:r>
      <w:r>
        <w:rPr>
          <w:rFonts w:hint="eastAsia"/>
          <w:u w:val="single"/>
        </w:rPr>
        <w:t xml:space="preserve">  </w:t>
      </w:r>
      <w:r>
        <w:rPr>
          <w:u w:val="single"/>
        </w:rPr>
        <w:t xml:space="preserve">      </w:t>
      </w:r>
      <w:r>
        <w:t>（姓名）系</w:t>
      </w:r>
      <w:r>
        <w:rPr>
          <w:u w:val="single"/>
        </w:rPr>
        <w:t xml:space="preserve">    </w:t>
      </w:r>
      <w:r>
        <w:rPr>
          <w:rFonts w:hint="eastAsia"/>
          <w:u w:val="single"/>
        </w:rPr>
        <w:t xml:space="preserve">       </w:t>
      </w:r>
      <w:r>
        <w:rPr>
          <w:u w:val="single"/>
        </w:rPr>
        <w:t xml:space="preserve">       </w:t>
      </w:r>
      <w:r>
        <w:t>（投标单位名称）的法</w:t>
      </w:r>
      <w:r>
        <w:rPr>
          <w:rFonts w:hint="eastAsia"/>
        </w:rPr>
        <w:t>定代表</w:t>
      </w:r>
      <w:r>
        <w:t>人，现授权</w:t>
      </w:r>
      <w:r>
        <w:rPr>
          <w:u w:val="single"/>
        </w:rPr>
        <w:t xml:space="preserve">      </w:t>
      </w:r>
      <w:r>
        <w:rPr>
          <w:rFonts w:hint="eastAsia"/>
          <w:u w:val="single"/>
        </w:rPr>
        <w:t xml:space="preserve">      </w:t>
      </w:r>
      <w:r>
        <w:rPr>
          <w:u w:val="single"/>
        </w:rPr>
        <w:t xml:space="preserve">  （</w:t>
      </w:r>
      <w:r>
        <w:t>单位名称）的</w:t>
      </w:r>
      <w:r>
        <w:rPr>
          <w:u w:val="single"/>
        </w:rPr>
        <w:t xml:space="preserve">    </w:t>
      </w:r>
      <w:r>
        <w:rPr>
          <w:rFonts w:hint="eastAsia"/>
          <w:u w:val="single"/>
        </w:rPr>
        <w:t xml:space="preserve">  </w:t>
      </w:r>
      <w:r>
        <w:rPr>
          <w:u w:val="single"/>
        </w:rPr>
        <w:t xml:space="preserve">     </w:t>
      </w:r>
      <w:r>
        <w:t>（姓名）为我</w:t>
      </w:r>
      <w:r>
        <w:rPr>
          <w:rFonts w:hint="eastAsia"/>
        </w:rPr>
        <w:t>单位</w:t>
      </w:r>
      <w:r>
        <w:t>代理人，以本</w:t>
      </w:r>
      <w:r>
        <w:rPr>
          <w:rFonts w:hint="eastAsia"/>
        </w:rPr>
        <w:t>单位</w:t>
      </w:r>
      <w:r>
        <w:t>的名义参加</w:t>
      </w:r>
      <w:r>
        <w:rPr>
          <w:rFonts w:hint="eastAsia"/>
        </w:rPr>
        <w:t>江苏开放大学（江苏城市职业学院）</w:t>
      </w:r>
      <w:r>
        <w:t>组织实施的编号为</w:t>
      </w:r>
      <w:r>
        <w:rPr>
          <w:rFonts w:hint="eastAsia"/>
          <w:u w:val="single"/>
        </w:rPr>
        <w:t xml:space="preserve">      </w:t>
      </w:r>
      <w:r>
        <w:t>号的招标活动。代理人在开标、评标、合同</w:t>
      </w:r>
      <w:r>
        <w:rPr>
          <w:rFonts w:hint="eastAsia"/>
        </w:rPr>
        <w:t>签订</w:t>
      </w:r>
      <w:r>
        <w:t>过程中所签署的一切文件和处理与这有关的一切事务，我均予以承认。</w:t>
      </w:r>
    </w:p>
    <w:p>
      <w:pPr>
        <w:pStyle w:val="10"/>
        <w:spacing w:before="0" w:beforeAutospacing="0" w:after="0" w:afterAutospacing="0" w:line="360" w:lineRule="auto"/>
        <w:ind w:firstLine="480"/>
      </w:pPr>
      <w:r>
        <w:t>代理人在委托书有效期内签署的所有文件不因授权委托的撤销而失效，除非有撤销授权委托的书面通知，本委托书自投标开始至合同履行完毕止。</w:t>
      </w:r>
    </w:p>
    <w:p>
      <w:pPr>
        <w:pStyle w:val="10"/>
        <w:spacing w:before="0" w:beforeAutospacing="0" w:after="0" w:afterAutospacing="0" w:line="360" w:lineRule="auto"/>
        <w:ind w:firstLine="480" w:firstLineChars="200"/>
      </w:pPr>
      <w:r>
        <w:t>代理人无转委托权。特此委托。</w:t>
      </w:r>
    </w:p>
    <w:p>
      <w:pPr>
        <w:pStyle w:val="10"/>
        <w:spacing w:before="0" w:beforeAutospacing="0" w:after="0" w:afterAutospacing="0" w:line="360" w:lineRule="auto"/>
      </w:pPr>
    </w:p>
    <w:p>
      <w:pPr>
        <w:pStyle w:val="10"/>
        <w:spacing w:before="0" w:beforeAutospacing="0" w:after="0" w:afterAutospacing="0" w:line="360" w:lineRule="auto"/>
        <w:ind w:firstLine="4080" w:firstLineChars="1700"/>
      </w:pPr>
      <w:r>
        <w:rPr>
          <w:rFonts w:hint="eastAsia"/>
        </w:rPr>
        <w:t>（投标单位）法定代表人签字或盖章：</w:t>
      </w:r>
    </w:p>
    <w:p>
      <w:pPr>
        <w:pStyle w:val="10"/>
        <w:spacing w:before="0" w:beforeAutospacing="0" w:after="0" w:afterAutospacing="0" w:line="360" w:lineRule="auto"/>
        <w:ind w:firstLine="4080" w:firstLineChars="1700"/>
      </w:pPr>
      <w:r>
        <w:rPr>
          <w:rFonts w:hint="eastAsia"/>
        </w:rPr>
        <w:t>（投标单位）公章：</w:t>
      </w:r>
    </w:p>
    <w:p>
      <w:pPr>
        <w:pStyle w:val="10"/>
        <w:spacing w:before="0" w:beforeAutospacing="0" w:after="0" w:afterAutospacing="0" w:line="360" w:lineRule="auto"/>
        <w:ind w:firstLine="5520" w:firstLineChars="2300"/>
      </w:pPr>
      <w:r>
        <w:rPr>
          <w:rFonts w:hint="eastAsia"/>
        </w:rPr>
        <w:t>年</w:t>
      </w:r>
      <w:r>
        <w:tab/>
      </w:r>
      <w:r>
        <w:rPr>
          <w:rFonts w:hint="eastAsia"/>
        </w:rPr>
        <w:t xml:space="preserve">  月</w:t>
      </w:r>
      <w:r>
        <w:t xml:space="preserve"> </w:t>
      </w:r>
      <w:r>
        <w:tab/>
      </w:r>
      <w:r>
        <w:rPr>
          <w:rFonts w:hint="eastAsia"/>
        </w:rPr>
        <w:t>日</w:t>
      </w:r>
    </w:p>
    <w:p>
      <w:pPr>
        <w:spacing w:line="440" w:lineRule="exact"/>
        <w:ind w:firstLine="5460" w:firstLineChars="2600"/>
        <w:rPr>
          <w:rFonts w:ascii="宋体" w:hAnsi="宋体"/>
          <w:sz w:val="24"/>
        </w:rPr>
      </w:pPr>
      <w: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149860</wp:posOffset>
                </wp:positionV>
                <wp:extent cx="4572000" cy="2742565"/>
                <wp:effectExtent l="9525" t="6985" r="9525" b="1270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jc w:val="center"/>
                            </w:pPr>
                            <w:r>
                              <w:rPr>
                                <w:rFonts w:hint="eastAsia" w:ascii="宋体" w:hAnsi="宋体"/>
                                <w:sz w:val="24"/>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8240;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jc w:val="center"/>
                      </w:pPr>
                      <w:r>
                        <w:rPr>
                          <w:rFonts w:hint="eastAsia" w:ascii="宋体" w:hAnsi="宋体"/>
                          <w:sz w:val="24"/>
                        </w:rPr>
                        <w:t>（法定代表人及代理人二代身份证正反面复印件粘贴处）</w:t>
                      </w:r>
                    </w:p>
                  </w:txbxContent>
                </v:textbox>
              </v:shape>
            </w:pict>
          </mc:Fallback>
        </mc:AlternateContent>
      </w:r>
    </w:p>
    <w:p>
      <w:pPr>
        <w:spacing w:line="440" w:lineRule="exact"/>
        <w:ind w:firstLine="6240" w:firstLineChars="2600"/>
        <w:rPr>
          <w:rFonts w:ascii="宋体" w:hAnsi="宋体"/>
          <w:sz w:val="24"/>
        </w:rPr>
      </w:pPr>
    </w:p>
    <w:p>
      <w:pPr>
        <w:spacing w:line="440" w:lineRule="exact"/>
        <w:ind w:firstLine="6240" w:firstLineChars="2600"/>
        <w:rPr>
          <w:rFonts w:ascii="宋体" w:hAnsi="宋体"/>
          <w:sz w:val="24"/>
        </w:rPr>
      </w:pPr>
    </w:p>
    <w:p>
      <w:pPr>
        <w:spacing w:line="440" w:lineRule="exact"/>
        <w:ind w:firstLine="6240" w:firstLineChars="2600"/>
        <w:rPr>
          <w:rFonts w:ascii="宋体" w:hAnsi="宋体"/>
          <w:sz w:val="24"/>
        </w:rPr>
      </w:pPr>
    </w:p>
    <w:p>
      <w:pPr>
        <w:spacing w:line="440" w:lineRule="exact"/>
        <w:ind w:firstLine="6240" w:firstLineChars="2600"/>
        <w:rPr>
          <w:rFonts w:ascii="宋体" w:hAnsi="宋体"/>
          <w:sz w:val="24"/>
        </w:rPr>
      </w:pPr>
    </w:p>
    <w:p>
      <w:pPr>
        <w:spacing w:line="440" w:lineRule="exact"/>
        <w:ind w:firstLine="600" w:firstLineChars="249"/>
        <w:rPr>
          <w:rFonts w:ascii="宋体" w:hAnsi="宋体"/>
          <w:b/>
          <w:sz w:val="24"/>
        </w:rPr>
      </w:pPr>
    </w:p>
    <w:p>
      <w:pPr>
        <w:spacing w:line="440" w:lineRule="exact"/>
        <w:rPr>
          <w:rFonts w:ascii="宋体" w:hAnsi="宋体"/>
          <w:b/>
          <w:sz w:val="24"/>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pStyle w:val="3"/>
        <w:overflowPunct w:val="0"/>
        <w:spacing w:line="360" w:lineRule="auto"/>
        <w:rPr>
          <w:rFonts w:hint="eastAsia" w:ascii="宋体" w:hAnsi="宋体"/>
          <w:bCs/>
          <w:color w:val="000000"/>
          <w:szCs w:val="21"/>
        </w:rPr>
        <w:sectPr>
          <w:pgSz w:w="11906" w:h="16838"/>
          <w:pgMar w:top="1134" w:right="1418" w:bottom="1134" w:left="1418" w:header="851" w:footer="992" w:gutter="0"/>
          <w:cols w:space="425" w:num="1"/>
          <w:docGrid w:type="lines" w:linePitch="312" w:charSpace="0"/>
        </w:sectPr>
      </w:pPr>
    </w:p>
    <w:p>
      <w:pPr>
        <w:pStyle w:val="3"/>
        <w:overflowPunct w:val="0"/>
        <w:spacing w:line="360" w:lineRule="auto"/>
        <w:rPr>
          <w:rFonts w:ascii="宋体" w:hAnsi="宋体"/>
          <w:bCs/>
          <w:color w:val="000000"/>
          <w:sz w:val="24"/>
        </w:rPr>
      </w:pPr>
      <w:r>
        <w:rPr>
          <w:rFonts w:hint="eastAsia" w:ascii="宋体" w:hAnsi="宋体"/>
          <w:bCs/>
          <w:color w:val="000000"/>
          <w:szCs w:val="21"/>
        </w:rPr>
        <w:t>4.</w:t>
      </w:r>
      <w:r>
        <w:rPr>
          <w:rFonts w:hint="eastAsia" w:ascii="宋体" w:hAnsi="宋体"/>
          <w:bCs/>
          <w:color w:val="000000"/>
          <w:sz w:val="24"/>
        </w:rPr>
        <w:t>参加本项采购活动前 3 年内在经营活动中没有重大违法记录的书面声明</w:t>
      </w:r>
    </w:p>
    <w:p>
      <w:pPr>
        <w:pStyle w:val="3"/>
        <w:overflowPunct w:val="0"/>
        <w:spacing w:line="360" w:lineRule="auto"/>
        <w:ind w:firstLine="480"/>
        <w:rPr>
          <w:rFonts w:ascii="宋体" w:hAnsi="宋体"/>
          <w:bCs/>
          <w:color w:val="000000"/>
          <w:sz w:val="24"/>
        </w:rPr>
      </w:pPr>
      <w:r>
        <w:rPr>
          <w:rFonts w:ascii="宋体" w:hAnsi="宋体"/>
          <w:bCs/>
          <w:color w:val="000000"/>
          <w:sz w:val="24"/>
        </w:rPr>
        <w:t xml:space="preserve">                   </w:t>
      </w:r>
    </w:p>
    <w:p>
      <w:pPr>
        <w:pStyle w:val="3"/>
        <w:overflowPunct w:val="0"/>
        <w:spacing w:line="360" w:lineRule="auto"/>
        <w:ind w:firstLine="480"/>
        <w:jc w:val="center"/>
        <w:rPr>
          <w:rFonts w:ascii="宋体" w:hAnsi="宋体"/>
          <w:bCs/>
          <w:color w:val="000000"/>
          <w:sz w:val="24"/>
        </w:rPr>
      </w:pPr>
      <w:r>
        <w:rPr>
          <w:rFonts w:hint="eastAsia" w:ascii="宋体" w:hAnsi="宋体"/>
          <w:bCs/>
          <w:color w:val="000000"/>
          <w:sz w:val="24"/>
        </w:rPr>
        <w:t>声  明</w:t>
      </w:r>
    </w:p>
    <w:p>
      <w:pPr>
        <w:pStyle w:val="3"/>
        <w:overflowPunct w:val="0"/>
        <w:spacing w:line="360" w:lineRule="auto"/>
        <w:ind w:firstLine="480"/>
        <w:rPr>
          <w:rFonts w:ascii="宋体" w:hAnsi="宋体"/>
          <w:bCs/>
          <w:color w:val="000000"/>
          <w:sz w:val="24"/>
        </w:rPr>
      </w:pPr>
      <w:r>
        <w:rPr>
          <w:rFonts w:hint="eastAsia" w:ascii="宋体" w:hAnsi="宋体"/>
          <w:bCs/>
          <w:color w:val="000000"/>
          <w:sz w:val="24"/>
        </w:rPr>
        <w:t xml:space="preserve">    我公司郑重声明：参加本项采购活动前 3 年内，我公司在经营活动中没有因违法经营受到刑事处罚或者责令停产停业、吊销许可证或者执照、较大数额罚款等行政处罚。</w:t>
      </w:r>
    </w:p>
    <w:p>
      <w:pPr>
        <w:pStyle w:val="3"/>
        <w:overflowPunct w:val="0"/>
        <w:spacing w:line="360" w:lineRule="auto"/>
        <w:ind w:firstLine="480"/>
        <w:rPr>
          <w:rFonts w:ascii="宋体" w:hAnsi="宋体"/>
          <w:bCs/>
          <w:color w:val="000000"/>
          <w:sz w:val="24"/>
        </w:rPr>
      </w:pPr>
      <w:r>
        <w:rPr>
          <w:rFonts w:hint="eastAsia" w:ascii="宋体" w:hAnsi="宋体"/>
          <w:bCs/>
          <w:color w:val="000000"/>
          <w:sz w:val="24"/>
        </w:rPr>
        <w:t xml:space="preserve">                                   供应商名称（公章）：</w:t>
      </w:r>
    </w:p>
    <w:p>
      <w:pPr>
        <w:pStyle w:val="3"/>
        <w:overflowPunct w:val="0"/>
        <w:spacing w:line="360" w:lineRule="auto"/>
        <w:ind w:firstLine="480"/>
        <w:rPr>
          <w:rFonts w:ascii="宋体" w:hAnsi="宋体"/>
          <w:bCs/>
          <w:color w:val="000000"/>
          <w:sz w:val="24"/>
        </w:rPr>
      </w:pPr>
      <w:r>
        <w:rPr>
          <w:rFonts w:hint="eastAsia" w:ascii="宋体" w:hAnsi="宋体"/>
          <w:bCs/>
          <w:color w:val="000000"/>
          <w:sz w:val="24"/>
        </w:rPr>
        <w:t xml:space="preserve">                                   授权代表签字：_______________________</w:t>
      </w:r>
    </w:p>
    <w:p>
      <w:pPr>
        <w:pStyle w:val="3"/>
        <w:overflowPunct w:val="0"/>
        <w:spacing w:line="360" w:lineRule="auto"/>
        <w:ind w:firstLine="480"/>
        <w:rPr>
          <w:rFonts w:hint="eastAsia" w:ascii="宋体" w:hAnsi="宋体"/>
          <w:bCs/>
          <w:color w:val="000000"/>
          <w:sz w:val="24"/>
        </w:rPr>
      </w:pPr>
      <w:r>
        <w:rPr>
          <w:rFonts w:hint="eastAsia" w:ascii="宋体" w:hAnsi="宋体"/>
          <w:bCs/>
          <w:color w:val="000000"/>
          <w:sz w:val="24"/>
        </w:rPr>
        <w:t xml:space="preserve">                                    日期：______年</w:t>
      </w:r>
      <w:r>
        <w:rPr>
          <w:rFonts w:hint="eastAsia" w:ascii="宋体" w:hAnsi="宋体"/>
          <w:bCs/>
          <w:color w:val="000000"/>
          <w:sz w:val="24"/>
          <w:u w:val="single"/>
        </w:rPr>
        <w:t xml:space="preserve">  </w:t>
      </w:r>
      <w:r>
        <w:rPr>
          <w:rFonts w:hint="eastAsia" w:ascii="宋体" w:hAnsi="宋体"/>
          <w:bCs/>
          <w:color w:val="000000"/>
          <w:sz w:val="24"/>
          <w:u w:val="single"/>
          <w:lang w:val="en-US" w:eastAsia="zh-CN"/>
        </w:rPr>
        <w:t xml:space="preserve"> </w:t>
      </w:r>
      <w:r>
        <w:rPr>
          <w:rFonts w:hint="eastAsia" w:ascii="宋体" w:hAnsi="宋体"/>
          <w:bCs/>
          <w:color w:val="000000"/>
          <w:sz w:val="24"/>
          <w:u w:val="single"/>
        </w:rPr>
        <w:t xml:space="preserve">  </w:t>
      </w:r>
      <w:r>
        <w:rPr>
          <w:rFonts w:hint="eastAsia" w:ascii="宋体" w:hAnsi="宋体"/>
          <w:bCs/>
          <w:color w:val="000000"/>
          <w:sz w:val="24"/>
        </w:rPr>
        <w:t>月</w:t>
      </w:r>
      <w:r>
        <w:rPr>
          <w:rFonts w:hint="eastAsia" w:ascii="宋体" w:hAnsi="宋体"/>
          <w:bCs/>
          <w:color w:val="000000"/>
          <w:sz w:val="24"/>
          <w:u w:val="single"/>
        </w:rPr>
        <w:t xml:space="preserve">  </w:t>
      </w:r>
      <w:r>
        <w:rPr>
          <w:rFonts w:hint="eastAsia" w:ascii="宋体" w:hAnsi="宋体"/>
          <w:bCs/>
          <w:color w:val="000000"/>
          <w:sz w:val="24"/>
          <w:u w:val="single"/>
          <w:lang w:val="en-US" w:eastAsia="zh-CN"/>
        </w:rPr>
        <w:t xml:space="preserve">  </w:t>
      </w:r>
      <w:r>
        <w:rPr>
          <w:rFonts w:hint="eastAsia" w:ascii="宋体" w:hAnsi="宋体"/>
          <w:bCs/>
          <w:color w:val="000000"/>
          <w:sz w:val="24"/>
          <w:u w:val="single"/>
        </w:rPr>
        <w:t xml:space="preserve">  </w:t>
      </w:r>
      <w:r>
        <w:rPr>
          <w:rFonts w:hint="eastAsia" w:ascii="宋体" w:hAnsi="宋体"/>
          <w:bCs/>
          <w:color w:val="000000"/>
          <w:sz w:val="24"/>
        </w:rPr>
        <w:t>日</w:t>
      </w:r>
    </w:p>
    <w:p>
      <w:pPr>
        <w:pStyle w:val="3"/>
        <w:overflowPunct w:val="0"/>
        <w:spacing w:line="360" w:lineRule="auto"/>
        <w:ind w:firstLine="0" w:firstLineChars="0"/>
        <w:rPr>
          <w:rFonts w:ascii="宋体" w:hAnsi="宋体"/>
          <w:bCs/>
          <w:color w:val="000000"/>
          <w:szCs w:val="21"/>
        </w:rPr>
      </w:pPr>
    </w:p>
    <w:p>
      <w:pPr>
        <w:pStyle w:val="3"/>
        <w:overflowPunct w:val="0"/>
        <w:spacing w:line="360" w:lineRule="auto"/>
        <w:ind w:firstLine="0" w:firstLineChars="0"/>
        <w:rPr>
          <w:rFonts w:ascii="宋体" w:hAnsi="宋体"/>
          <w:bCs/>
          <w:color w:val="000000"/>
          <w:sz w:val="24"/>
        </w:rPr>
      </w:pPr>
      <w:r>
        <w:rPr>
          <w:rFonts w:hint="eastAsia" w:ascii="宋体" w:hAnsi="宋体"/>
          <w:bCs/>
          <w:color w:val="000000"/>
          <w:szCs w:val="21"/>
        </w:rPr>
        <w:t>5.</w:t>
      </w:r>
      <w:r>
        <w:rPr>
          <w:rFonts w:hint="eastAsia" w:ascii="宋体" w:hAnsi="宋体"/>
          <w:bCs/>
          <w:color w:val="000000"/>
          <w:sz w:val="24"/>
        </w:rPr>
        <w:t>类似</w:t>
      </w:r>
      <w:r>
        <w:rPr>
          <w:rFonts w:ascii="宋体" w:hAnsi="宋体"/>
          <w:bCs/>
          <w:color w:val="000000"/>
          <w:sz w:val="24"/>
        </w:rPr>
        <w:t>项目一览表</w:t>
      </w:r>
    </w:p>
    <w:tbl>
      <w:tblPr>
        <w:tblStyle w:val="14"/>
        <w:tblW w:w="908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5"/>
        <w:gridCol w:w="1578"/>
        <w:gridCol w:w="1578"/>
        <w:gridCol w:w="1878"/>
        <w:gridCol w:w="2036"/>
        <w:gridCol w:w="10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0" w:hRule="atLeast"/>
        </w:trPr>
        <w:tc>
          <w:tcPr>
            <w:tcW w:w="975" w:type="dxa"/>
            <w:vAlign w:val="center"/>
          </w:tcPr>
          <w:p>
            <w:pPr>
              <w:pStyle w:val="3"/>
              <w:overflowPunct w:val="0"/>
              <w:spacing w:line="360" w:lineRule="auto"/>
              <w:ind w:firstLine="480"/>
              <w:jc w:val="center"/>
              <w:rPr>
                <w:rFonts w:ascii="宋体" w:hAnsi="宋体"/>
                <w:bCs/>
                <w:color w:val="000000"/>
                <w:sz w:val="24"/>
              </w:rPr>
            </w:pPr>
            <w:r>
              <w:rPr>
                <w:rFonts w:ascii="宋体" w:hAnsi="宋体"/>
                <w:bCs/>
                <w:color w:val="000000"/>
                <w:sz w:val="24"/>
              </w:rPr>
              <w:t>序号</w:t>
            </w:r>
          </w:p>
        </w:tc>
        <w:tc>
          <w:tcPr>
            <w:tcW w:w="1578" w:type="dxa"/>
            <w:vAlign w:val="center"/>
          </w:tcPr>
          <w:p>
            <w:pPr>
              <w:pStyle w:val="3"/>
              <w:overflowPunct w:val="0"/>
              <w:spacing w:line="360" w:lineRule="auto"/>
              <w:ind w:firstLine="480"/>
              <w:jc w:val="center"/>
              <w:rPr>
                <w:rFonts w:ascii="宋体" w:hAnsi="宋体"/>
                <w:bCs/>
                <w:color w:val="000000"/>
                <w:sz w:val="24"/>
              </w:rPr>
            </w:pPr>
            <w:r>
              <w:rPr>
                <w:rFonts w:ascii="宋体" w:hAnsi="宋体"/>
                <w:bCs/>
                <w:color w:val="000000"/>
                <w:sz w:val="24"/>
              </w:rPr>
              <w:t>项目名称</w:t>
            </w:r>
          </w:p>
        </w:tc>
        <w:tc>
          <w:tcPr>
            <w:tcW w:w="1578" w:type="dxa"/>
            <w:vAlign w:val="center"/>
          </w:tcPr>
          <w:p>
            <w:pPr>
              <w:pStyle w:val="3"/>
              <w:overflowPunct w:val="0"/>
              <w:spacing w:line="360" w:lineRule="auto"/>
              <w:ind w:firstLine="480"/>
              <w:jc w:val="center"/>
              <w:rPr>
                <w:rFonts w:ascii="宋体" w:hAnsi="宋体"/>
                <w:bCs/>
                <w:color w:val="000000"/>
                <w:sz w:val="24"/>
              </w:rPr>
            </w:pPr>
            <w:r>
              <w:rPr>
                <w:rFonts w:ascii="宋体" w:hAnsi="宋体"/>
                <w:bCs/>
                <w:color w:val="000000"/>
                <w:sz w:val="24"/>
              </w:rPr>
              <w:t>合同期</w:t>
            </w:r>
          </w:p>
        </w:tc>
        <w:tc>
          <w:tcPr>
            <w:tcW w:w="1878" w:type="dxa"/>
            <w:tcBorders>
              <w:right w:val="single" w:color="auto" w:sz="4" w:space="0"/>
            </w:tcBorders>
            <w:vAlign w:val="center"/>
          </w:tcPr>
          <w:p>
            <w:pPr>
              <w:pStyle w:val="3"/>
              <w:overflowPunct w:val="0"/>
              <w:spacing w:line="360" w:lineRule="auto"/>
              <w:ind w:firstLine="480"/>
              <w:jc w:val="center"/>
              <w:rPr>
                <w:rFonts w:ascii="宋体" w:hAnsi="宋体"/>
                <w:bCs/>
                <w:color w:val="000000"/>
                <w:sz w:val="24"/>
              </w:rPr>
            </w:pPr>
            <w:r>
              <w:rPr>
                <w:rFonts w:ascii="宋体" w:hAnsi="宋体"/>
                <w:bCs/>
                <w:color w:val="000000"/>
                <w:sz w:val="24"/>
              </w:rPr>
              <w:t>范围</w:t>
            </w:r>
          </w:p>
        </w:tc>
        <w:tc>
          <w:tcPr>
            <w:tcW w:w="2036" w:type="dxa"/>
            <w:tcBorders>
              <w:left w:val="single" w:color="auto" w:sz="4" w:space="0"/>
              <w:right w:val="single" w:color="auto" w:sz="4" w:space="0"/>
            </w:tcBorders>
            <w:vAlign w:val="center"/>
          </w:tcPr>
          <w:p>
            <w:pPr>
              <w:pStyle w:val="3"/>
              <w:overflowPunct w:val="0"/>
              <w:spacing w:line="360" w:lineRule="auto"/>
              <w:ind w:firstLine="480"/>
              <w:jc w:val="center"/>
              <w:rPr>
                <w:rFonts w:ascii="宋体" w:hAnsi="宋体"/>
                <w:bCs/>
                <w:color w:val="000000"/>
                <w:sz w:val="24"/>
              </w:rPr>
            </w:pPr>
            <w:r>
              <w:rPr>
                <w:rFonts w:ascii="宋体" w:hAnsi="宋体"/>
                <w:bCs/>
                <w:color w:val="000000"/>
                <w:sz w:val="24"/>
              </w:rPr>
              <w:t>合同金额（万元）</w:t>
            </w:r>
          </w:p>
        </w:tc>
        <w:tc>
          <w:tcPr>
            <w:tcW w:w="1043" w:type="dxa"/>
            <w:vAlign w:val="center"/>
          </w:tcPr>
          <w:p>
            <w:pPr>
              <w:pStyle w:val="3"/>
              <w:overflowPunct w:val="0"/>
              <w:spacing w:line="360" w:lineRule="auto"/>
              <w:ind w:firstLine="480"/>
              <w:jc w:val="center"/>
              <w:rPr>
                <w:rFonts w:ascii="宋体" w:hAnsi="宋体"/>
                <w:bCs/>
                <w:color w:val="000000"/>
                <w:sz w:val="24"/>
              </w:rPr>
            </w:pPr>
            <w:r>
              <w:rPr>
                <w:rFonts w:ascii="宋体" w:hAnsi="宋体"/>
                <w:bCs/>
                <w:color w:val="000000"/>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10" w:hRule="exact"/>
        </w:trPr>
        <w:tc>
          <w:tcPr>
            <w:tcW w:w="975" w:type="dxa"/>
            <w:vAlign w:val="center"/>
          </w:tcPr>
          <w:p>
            <w:pPr>
              <w:pStyle w:val="3"/>
              <w:overflowPunct w:val="0"/>
              <w:spacing w:line="360" w:lineRule="auto"/>
              <w:ind w:firstLine="480"/>
              <w:jc w:val="center"/>
              <w:rPr>
                <w:rFonts w:ascii="宋体" w:hAnsi="宋体"/>
                <w:bCs/>
                <w:color w:val="000000"/>
                <w:sz w:val="24"/>
              </w:rPr>
            </w:pPr>
            <w:r>
              <w:rPr>
                <w:rFonts w:ascii="宋体" w:hAnsi="宋体"/>
                <w:bCs/>
                <w:color w:val="000000"/>
                <w:sz w:val="24"/>
              </w:rPr>
              <w:t>1</w:t>
            </w:r>
          </w:p>
        </w:tc>
        <w:tc>
          <w:tcPr>
            <w:tcW w:w="1578" w:type="dxa"/>
            <w:vAlign w:val="center"/>
          </w:tcPr>
          <w:p>
            <w:pPr>
              <w:pStyle w:val="3"/>
              <w:overflowPunct w:val="0"/>
              <w:spacing w:line="360" w:lineRule="auto"/>
              <w:ind w:firstLine="480"/>
              <w:jc w:val="center"/>
              <w:rPr>
                <w:rFonts w:ascii="宋体" w:hAnsi="宋体"/>
                <w:bCs/>
                <w:color w:val="000000"/>
                <w:sz w:val="24"/>
              </w:rPr>
            </w:pPr>
          </w:p>
        </w:tc>
        <w:tc>
          <w:tcPr>
            <w:tcW w:w="1578" w:type="dxa"/>
            <w:vAlign w:val="center"/>
          </w:tcPr>
          <w:p>
            <w:pPr>
              <w:pStyle w:val="3"/>
              <w:overflowPunct w:val="0"/>
              <w:spacing w:line="360" w:lineRule="auto"/>
              <w:ind w:firstLine="480"/>
              <w:jc w:val="center"/>
              <w:rPr>
                <w:rFonts w:ascii="宋体" w:hAnsi="宋体"/>
                <w:bCs/>
                <w:color w:val="000000"/>
                <w:sz w:val="24"/>
              </w:rPr>
            </w:pPr>
          </w:p>
        </w:tc>
        <w:tc>
          <w:tcPr>
            <w:tcW w:w="1878" w:type="dxa"/>
            <w:tcBorders>
              <w:right w:val="single" w:color="auto" w:sz="4" w:space="0"/>
            </w:tcBorders>
            <w:vAlign w:val="center"/>
          </w:tcPr>
          <w:p>
            <w:pPr>
              <w:pStyle w:val="3"/>
              <w:overflowPunct w:val="0"/>
              <w:spacing w:line="360" w:lineRule="auto"/>
              <w:ind w:firstLine="480"/>
              <w:jc w:val="center"/>
              <w:rPr>
                <w:rFonts w:ascii="宋体" w:hAnsi="宋体"/>
                <w:bCs/>
                <w:color w:val="000000"/>
                <w:sz w:val="24"/>
              </w:rPr>
            </w:pPr>
          </w:p>
        </w:tc>
        <w:tc>
          <w:tcPr>
            <w:tcW w:w="2036" w:type="dxa"/>
            <w:tcBorders>
              <w:left w:val="single" w:color="auto" w:sz="4" w:space="0"/>
              <w:right w:val="single" w:color="auto" w:sz="4" w:space="0"/>
            </w:tcBorders>
            <w:vAlign w:val="center"/>
          </w:tcPr>
          <w:p>
            <w:pPr>
              <w:pStyle w:val="3"/>
              <w:overflowPunct w:val="0"/>
              <w:spacing w:line="360" w:lineRule="auto"/>
              <w:ind w:firstLine="480"/>
              <w:jc w:val="center"/>
              <w:rPr>
                <w:rFonts w:ascii="宋体" w:hAnsi="宋体"/>
                <w:bCs/>
                <w:color w:val="000000"/>
                <w:sz w:val="24"/>
              </w:rPr>
            </w:pPr>
          </w:p>
        </w:tc>
        <w:tc>
          <w:tcPr>
            <w:tcW w:w="1043" w:type="dxa"/>
            <w:vAlign w:val="center"/>
          </w:tcPr>
          <w:p>
            <w:pPr>
              <w:pStyle w:val="3"/>
              <w:overflowPunct w:val="0"/>
              <w:spacing w:line="360" w:lineRule="auto"/>
              <w:ind w:firstLine="480"/>
              <w:jc w:val="center"/>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10" w:hRule="exact"/>
        </w:trPr>
        <w:tc>
          <w:tcPr>
            <w:tcW w:w="975" w:type="dxa"/>
            <w:vAlign w:val="center"/>
          </w:tcPr>
          <w:p>
            <w:pPr>
              <w:pStyle w:val="3"/>
              <w:overflowPunct w:val="0"/>
              <w:spacing w:line="360" w:lineRule="auto"/>
              <w:ind w:firstLine="480"/>
              <w:jc w:val="center"/>
              <w:rPr>
                <w:rFonts w:ascii="宋体" w:hAnsi="宋体"/>
                <w:bCs/>
                <w:color w:val="000000"/>
                <w:sz w:val="24"/>
              </w:rPr>
            </w:pPr>
            <w:r>
              <w:rPr>
                <w:rFonts w:ascii="宋体" w:hAnsi="宋体"/>
                <w:bCs/>
                <w:color w:val="000000"/>
                <w:sz w:val="24"/>
              </w:rPr>
              <w:t>2</w:t>
            </w:r>
          </w:p>
        </w:tc>
        <w:tc>
          <w:tcPr>
            <w:tcW w:w="1578" w:type="dxa"/>
            <w:vAlign w:val="center"/>
          </w:tcPr>
          <w:p>
            <w:pPr>
              <w:pStyle w:val="3"/>
              <w:overflowPunct w:val="0"/>
              <w:spacing w:line="360" w:lineRule="auto"/>
              <w:ind w:firstLine="480"/>
              <w:jc w:val="center"/>
              <w:rPr>
                <w:rFonts w:ascii="宋体" w:hAnsi="宋体"/>
                <w:bCs/>
                <w:color w:val="000000"/>
                <w:sz w:val="24"/>
              </w:rPr>
            </w:pPr>
          </w:p>
        </w:tc>
        <w:tc>
          <w:tcPr>
            <w:tcW w:w="1578" w:type="dxa"/>
            <w:vAlign w:val="center"/>
          </w:tcPr>
          <w:p>
            <w:pPr>
              <w:pStyle w:val="3"/>
              <w:overflowPunct w:val="0"/>
              <w:spacing w:line="360" w:lineRule="auto"/>
              <w:ind w:firstLine="480"/>
              <w:jc w:val="center"/>
              <w:rPr>
                <w:rFonts w:ascii="宋体" w:hAnsi="宋体"/>
                <w:bCs/>
                <w:color w:val="000000"/>
                <w:sz w:val="24"/>
              </w:rPr>
            </w:pPr>
          </w:p>
        </w:tc>
        <w:tc>
          <w:tcPr>
            <w:tcW w:w="1878" w:type="dxa"/>
            <w:tcBorders>
              <w:right w:val="single" w:color="auto" w:sz="4" w:space="0"/>
            </w:tcBorders>
            <w:vAlign w:val="center"/>
          </w:tcPr>
          <w:p>
            <w:pPr>
              <w:pStyle w:val="3"/>
              <w:overflowPunct w:val="0"/>
              <w:spacing w:line="360" w:lineRule="auto"/>
              <w:ind w:firstLine="480"/>
              <w:jc w:val="center"/>
              <w:rPr>
                <w:rFonts w:ascii="宋体" w:hAnsi="宋体"/>
                <w:bCs/>
                <w:color w:val="000000"/>
                <w:sz w:val="24"/>
              </w:rPr>
            </w:pPr>
          </w:p>
        </w:tc>
        <w:tc>
          <w:tcPr>
            <w:tcW w:w="2036" w:type="dxa"/>
            <w:tcBorders>
              <w:left w:val="single" w:color="auto" w:sz="4" w:space="0"/>
              <w:right w:val="single" w:color="auto" w:sz="4" w:space="0"/>
            </w:tcBorders>
            <w:vAlign w:val="center"/>
          </w:tcPr>
          <w:p>
            <w:pPr>
              <w:pStyle w:val="3"/>
              <w:overflowPunct w:val="0"/>
              <w:spacing w:line="360" w:lineRule="auto"/>
              <w:ind w:firstLine="480"/>
              <w:jc w:val="center"/>
              <w:rPr>
                <w:rFonts w:ascii="宋体" w:hAnsi="宋体"/>
                <w:bCs/>
                <w:color w:val="000000"/>
                <w:sz w:val="24"/>
              </w:rPr>
            </w:pPr>
          </w:p>
        </w:tc>
        <w:tc>
          <w:tcPr>
            <w:tcW w:w="1043" w:type="dxa"/>
            <w:vAlign w:val="center"/>
          </w:tcPr>
          <w:p>
            <w:pPr>
              <w:pStyle w:val="3"/>
              <w:overflowPunct w:val="0"/>
              <w:spacing w:line="360" w:lineRule="auto"/>
              <w:ind w:firstLine="480"/>
              <w:jc w:val="center"/>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10" w:hRule="exact"/>
        </w:trPr>
        <w:tc>
          <w:tcPr>
            <w:tcW w:w="975" w:type="dxa"/>
            <w:vAlign w:val="center"/>
          </w:tcPr>
          <w:p>
            <w:pPr>
              <w:pStyle w:val="3"/>
              <w:overflowPunct w:val="0"/>
              <w:spacing w:line="360" w:lineRule="auto"/>
              <w:ind w:firstLine="480"/>
              <w:jc w:val="center"/>
              <w:rPr>
                <w:rFonts w:ascii="宋体" w:hAnsi="宋体"/>
                <w:bCs/>
                <w:color w:val="000000"/>
                <w:sz w:val="24"/>
              </w:rPr>
            </w:pPr>
          </w:p>
        </w:tc>
        <w:tc>
          <w:tcPr>
            <w:tcW w:w="1578" w:type="dxa"/>
            <w:vAlign w:val="center"/>
          </w:tcPr>
          <w:p>
            <w:pPr>
              <w:pStyle w:val="3"/>
              <w:overflowPunct w:val="0"/>
              <w:spacing w:line="360" w:lineRule="auto"/>
              <w:ind w:firstLine="480"/>
              <w:jc w:val="center"/>
              <w:rPr>
                <w:rFonts w:ascii="宋体" w:hAnsi="宋体"/>
                <w:bCs/>
                <w:color w:val="000000"/>
                <w:sz w:val="24"/>
              </w:rPr>
            </w:pPr>
          </w:p>
        </w:tc>
        <w:tc>
          <w:tcPr>
            <w:tcW w:w="1578" w:type="dxa"/>
            <w:vAlign w:val="center"/>
          </w:tcPr>
          <w:p>
            <w:pPr>
              <w:pStyle w:val="3"/>
              <w:overflowPunct w:val="0"/>
              <w:spacing w:line="360" w:lineRule="auto"/>
              <w:ind w:firstLine="480"/>
              <w:jc w:val="center"/>
              <w:rPr>
                <w:rFonts w:ascii="宋体" w:hAnsi="宋体"/>
                <w:bCs/>
                <w:color w:val="000000"/>
                <w:sz w:val="24"/>
              </w:rPr>
            </w:pPr>
          </w:p>
        </w:tc>
        <w:tc>
          <w:tcPr>
            <w:tcW w:w="1878" w:type="dxa"/>
            <w:tcBorders>
              <w:right w:val="single" w:color="auto" w:sz="4" w:space="0"/>
            </w:tcBorders>
            <w:vAlign w:val="center"/>
          </w:tcPr>
          <w:p>
            <w:pPr>
              <w:pStyle w:val="3"/>
              <w:overflowPunct w:val="0"/>
              <w:spacing w:line="360" w:lineRule="auto"/>
              <w:ind w:firstLine="480"/>
              <w:jc w:val="center"/>
              <w:rPr>
                <w:rFonts w:ascii="宋体" w:hAnsi="宋体"/>
                <w:bCs/>
                <w:color w:val="000000"/>
                <w:sz w:val="24"/>
              </w:rPr>
            </w:pPr>
          </w:p>
        </w:tc>
        <w:tc>
          <w:tcPr>
            <w:tcW w:w="2036" w:type="dxa"/>
            <w:tcBorders>
              <w:left w:val="single" w:color="auto" w:sz="4" w:space="0"/>
              <w:right w:val="single" w:color="auto" w:sz="4" w:space="0"/>
            </w:tcBorders>
            <w:vAlign w:val="center"/>
          </w:tcPr>
          <w:p>
            <w:pPr>
              <w:pStyle w:val="3"/>
              <w:overflowPunct w:val="0"/>
              <w:spacing w:line="360" w:lineRule="auto"/>
              <w:ind w:firstLine="480"/>
              <w:jc w:val="center"/>
              <w:rPr>
                <w:rFonts w:ascii="宋体" w:hAnsi="宋体"/>
                <w:bCs/>
                <w:color w:val="000000"/>
                <w:sz w:val="24"/>
              </w:rPr>
            </w:pPr>
          </w:p>
        </w:tc>
        <w:tc>
          <w:tcPr>
            <w:tcW w:w="1043" w:type="dxa"/>
            <w:vAlign w:val="center"/>
          </w:tcPr>
          <w:p>
            <w:pPr>
              <w:pStyle w:val="3"/>
              <w:overflowPunct w:val="0"/>
              <w:spacing w:line="360" w:lineRule="auto"/>
              <w:ind w:firstLine="480"/>
              <w:jc w:val="center"/>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10" w:hRule="exact"/>
        </w:trPr>
        <w:tc>
          <w:tcPr>
            <w:tcW w:w="975" w:type="dxa"/>
            <w:vAlign w:val="center"/>
          </w:tcPr>
          <w:p>
            <w:pPr>
              <w:pStyle w:val="3"/>
              <w:overflowPunct w:val="0"/>
              <w:spacing w:line="360" w:lineRule="auto"/>
              <w:ind w:firstLine="480"/>
              <w:jc w:val="center"/>
              <w:rPr>
                <w:rFonts w:ascii="宋体" w:hAnsi="宋体"/>
                <w:bCs/>
                <w:color w:val="000000"/>
                <w:sz w:val="24"/>
              </w:rPr>
            </w:pPr>
          </w:p>
        </w:tc>
        <w:tc>
          <w:tcPr>
            <w:tcW w:w="1578" w:type="dxa"/>
            <w:vAlign w:val="center"/>
          </w:tcPr>
          <w:p>
            <w:pPr>
              <w:pStyle w:val="3"/>
              <w:overflowPunct w:val="0"/>
              <w:spacing w:line="360" w:lineRule="auto"/>
              <w:ind w:firstLine="480"/>
              <w:jc w:val="center"/>
              <w:rPr>
                <w:rFonts w:ascii="宋体" w:hAnsi="宋体"/>
                <w:bCs/>
                <w:color w:val="000000"/>
                <w:sz w:val="24"/>
              </w:rPr>
            </w:pPr>
          </w:p>
        </w:tc>
        <w:tc>
          <w:tcPr>
            <w:tcW w:w="1578" w:type="dxa"/>
            <w:vAlign w:val="center"/>
          </w:tcPr>
          <w:p>
            <w:pPr>
              <w:pStyle w:val="3"/>
              <w:overflowPunct w:val="0"/>
              <w:spacing w:line="360" w:lineRule="auto"/>
              <w:ind w:firstLine="480"/>
              <w:jc w:val="center"/>
              <w:rPr>
                <w:rFonts w:ascii="宋体" w:hAnsi="宋体"/>
                <w:bCs/>
                <w:color w:val="000000"/>
                <w:sz w:val="24"/>
              </w:rPr>
            </w:pPr>
          </w:p>
        </w:tc>
        <w:tc>
          <w:tcPr>
            <w:tcW w:w="1878" w:type="dxa"/>
            <w:tcBorders>
              <w:right w:val="single" w:color="auto" w:sz="4" w:space="0"/>
            </w:tcBorders>
            <w:vAlign w:val="center"/>
          </w:tcPr>
          <w:p>
            <w:pPr>
              <w:pStyle w:val="3"/>
              <w:overflowPunct w:val="0"/>
              <w:spacing w:line="360" w:lineRule="auto"/>
              <w:ind w:firstLine="480"/>
              <w:jc w:val="center"/>
              <w:rPr>
                <w:rFonts w:ascii="宋体" w:hAnsi="宋体"/>
                <w:bCs/>
                <w:color w:val="000000"/>
                <w:sz w:val="24"/>
              </w:rPr>
            </w:pPr>
          </w:p>
        </w:tc>
        <w:tc>
          <w:tcPr>
            <w:tcW w:w="2036" w:type="dxa"/>
            <w:tcBorders>
              <w:left w:val="single" w:color="auto" w:sz="4" w:space="0"/>
              <w:right w:val="single" w:color="auto" w:sz="4" w:space="0"/>
            </w:tcBorders>
            <w:vAlign w:val="center"/>
          </w:tcPr>
          <w:p>
            <w:pPr>
              <w:pStyle w:val="3"/>
              <w:overflowPunct w:val="0"/>
              <w:spacing w:line="360" w:lineRule="auto"/>
              <w:ind w:firstLine="480"/>
              <w:jc w:val="center"/>
              <w:rPr>
                <w:rFonts w:ascii="宋体" w:hAnsi="宋体"/>
                <w:bCs/>
                <w:color w:val="000000"/>
                <w:sz w:val="24"/>
              </w:rPr>
            </w:pPr>
          </w:p>
        </w:tc>
        <w:tc>
          <w:tcPr>
            <w:tcW w:w="1043" w:type="dxa"/>
            <w:vAlign w:val="center"/>
          </w:tcPr>
          <w:p>
            <w:pPr>
              <w:pStyle w:val="3"/>
              <w:overflowPunct w:val="0"/>
              <w:spacing w:line="360" w:lineRule="auto"/>
              <w:ind w:firstLine="480"/>
              <w:jc w:val="center"/>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10" w:hRule="exact"/>
        </w:trPr>
        <w:tc>
          <w:tcPr>
            <w:tcW w:w="975" w:type="dxa"/>
            <w:vAlign w:val="center"/>
          </w:tcPr>
          <w:p>
            <w:pPr>
              <w:pStyle w:val="3"/>
              <w:overflowPunct w:val="0"/>
              <w:spacing w:line="360" w:lineRule="auto"/>
              <w:ind w:firstLine="480"/>
              <w:jc w:val="center"/>
              <w:rPr>
                <w:rFonts w:ascii="宋体" w:hAnsi="宋体"/>
                <w:bCs/>
                <w:color w:val="000000"/>
                <w:sz w:val="24"/>
              </w:rPr>
            </w:pPr>
          </w:p>
        </w:tc>
        <w:tc>
          <w:tcPr>
            <w:tcW w:w="1578" w:type="dxa"/>
            <w:vAlign w:val="center"/>
          </w:tcPr>
          <w:p>
            <w:pPr>
              <w:pStyle w:val="3"/>
              <w:overflowPunct w:val="0"/>
              <w:spacing w:line="360" w:lineRule="auto"/>
              <w:ind w:firstLine="480"/>
              <w:jc w:val="center"/>
              <w:rPr>
                <w:rFonts w:ascii="宋体" w:hAnsi="宋体"/>
                <w:bCs/>
                <w:color w:val="000000"/>
                <w:sz w:val="24"/>
              </w:rPr>
            </w:pPr>
          </w:p>
        </w:tc>
        <w:tc>
          <w:tcPr>
            <w:tcW w:w="1578" w:type="dxa"/>
            <w:vAlign w:val="center"/>
          </w:tcPr>
          <w:p>
            <w:pPr>
              <w:pStyle w:val="3"/>
              <w:overflowPunct w:val="0"/>
              <w:spacing w:line="360" w:lineRule="auto"/>
              <w:ind w:firstLine="480"/>
              <w:jc w:val="center"/>
              <w:rPr>
                <w:rFonts w:ascii="宋体" w:hAnsi="宋体"/>
                <w:bCs/>
                <w:color w:val="000000"/>
                <w:sz w:val="24"/>
              </w:rPr>
            </w:pPr>
          </w:p>
        </w:tc>
        <w:tc>
          <w:tcPr>
            <w:tcW w:w="1878" w:type="dxa"/>
            <w:tcBorders>
              <w:right w:val="single" w:color="auto" w:sz="4" w:space="0"/>
            </w:tcBorders>
            <w:vAlign w:val="center"/>
          </w:tcPr>
          <w:p>
            <w:pPr>
              <w:pStyle w:val="3"/>
              <w:overflowPunct w:val="0"/>
              <w:spacing w:line="360" w:lineRule="auto"/>
              <w:ind w:firstLine="480"/>
              <w:jc w:val="center"/>
              <w:rPr>
                <w:rFonts w:ascii="宋体" w:hAnsi="宋体"/>
                <w:bCs/>
                <w:color w:val="000000"/>
                <w:sz w:val="24"/>
              </w:rPr>
            </w:pPr>
          </w:p>
        </w:tc>
        <w:tc>
          <w:tcPr>
            <w:tcW w:w="2036" w:type="dxa"/>
            <w:tcBorders>
              <w:left w:val="single" w:color="auto" w:sz="4" w:space="0"/>
              <w:right w:val="single" w:color="auto" w:sz="4" w:space="0"/>
            </w:tcBorders>
            <w:vAlign w:val="center"/>
          </w:tcPr>
          <w:p>
            <w:pPr>
              <w:pStyle w:val="3"/>
              <w:overflowPunct w:val="0"/>
              <w:spacing w:line="360" w:lineRule="auto"/>
              <w:ind w:firstLine="480"/>
              <w:jc w:val="center"/>
              <w:rPr>
                <w:rFonts w:ascii="宋体" w:hAnsi="宋体"/>
                <w:bCs/>
                <w:color w:val="000000"/>
                <w:sz w:val="24"/>
              </w:rPr>
            </w:pPr>
          </w:p>
        </w:tc>
        <w:tc>
          <w:tcPr>
            <w:tcW w:w="1043" w:type="dxa"/>
            <w:vAlign w:val="center"/>
          </w:tcPr>
          <w:p>
            <w:pPr>
              <w:pStyle w:val="3"/>
              <w:overflowPunct w:val="0"/>
              <w:spacing w:line="360" w:lineRule="auto"/>
              <w:ind w:firstLine="480"/>
              <w:jc w:val="center"/>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10" w:hRule="exact"/>
        </w:trPr>
        <w:tc>
          <w:tcPr>
            <w:tcW w:w="975" w:type="dxa"/>
            <w:vAlign w:val="center"/>
          </w:tcPr>
          <w:p>
            <w:pPr>
              <w:pStyle w:val="3"/>
              <w:overflowPunct w:val="0"/>
              <w:spacing w:line="360" w:lineRule="auto"/>
              <w:ind w:firstLine="480"/>
              <w:jc w:val="center"/>
              <w:rPr>
                <w:rFonts w:ascii="宋体" w:hAnsi="宋体"/>
                <w:bCs/>
                <w:color w:val="000000"/>
                <w:sz w:val="24"/>
              </w:rPr>
            </w:pPr>
          </w:p>
        </w:tc>
        <w:tc>
          <w:tcPr>
            <w:tcW w:w="1578" w:type="dxa"/>
            <w:vAlign w:val="center"/>
          </w:tcPr>
          <w:p>
            <w:pPr>
              <w:pStyle w:val="3"/>
              <w:overflowPunct w:val="0"/>
              <w:spacing w:line="360" w:lineRule="auto"/>
              <w:ind w:firstLine="480"/>
              <w:jc w:val="center"/>
              <w:rPr>
                <w:rFonts w:ascii="宋体" w:hAnsi="宋体"/>
                <w:bCs/>
                <w:color w:val="000000"/>
                <w:sz w:val="24"/>
              </w:rPr>
            </w:pPr>
          </w:p>
        </w:tc>
        <w:tc>
          <w:tcPr>
            <w:tcW w:w="1578" w:type="dxa"/>
            <w:vAlign w:val="center"/>
          </w:tcPr>
          <w:p>
            <w:pPr>
              <w:pStyle w:val="3"/>
              <w:overflowPunct w:val="0"/>
              <w:spacing w:line="360" w:lineRule="auto"/>
              <w:ind w:firstLine="480"/>
              <w:jc w:val="center"/>
              <w:rPr>
                <w:rFonts w:ascii="宋体" w:hAnsi="宋体"/>
                <w:bCs/>
                <w:color w:val="000000"/>
                <w:sz w:val="24"/>
              </w:rPr>
            </w:pPr>
          </w:p>
        </w:tc>
        <w:tc>
          <w:tcPr>
            <w:tcW w:w="1878" w:type="dxa"/>
            <w:tcBorders>
              <w:right w:val="single" w:color="auto" w:sz="4" w:space="0"/>
            </w:tcBorders>
            <w:vAlign w:val="center"/>
          </w:tcPr>
          <w:p>
            <w:pPr>
              <w:pStyle w:val="3"/>
              <w:overflowPunct w:val="0"/>
              <w:spacing w:line="360" w:lineRule="auto"/>
              <w:ind w:firstLine="480"/>
              <w:jc w:val="center"/>
              <w:rPr>
                <w:rFonts w:ascii="宋体" w:hAnsi="宋体"/>
                <w:bCs/>
                <w:color w:val="000000"/>
                <w:sz w:val="24"/>
              </w:rPr>
            </w:pPr>
          </w:p>
        </w:tc>
        <w:tc>
          <w:tcPr>
            <w:tcW w:w="2036" w:type="dxa"/>
            <w:tcBorders>
              <w:left w:val="single" w:color="auto" w:sz="4" w:space="0"/>
              <w:right w:val="single" w:color="auto" w:sz="4" w:space="0"/>
            </w:tcBorders>
            <w:vAlign w:val="center"/>
          </w:tcPr>
          <w:p>
            <w:pPr>
              <w:pStyle w:val="3"/>
              <w:overflowPunct w:val="0"/>
              <w:spacing w:line="360" w:lineRule="auto"/>
              <w:ind w:firstLine="480"/>
              <w:jc w:val="center"/>
              <w:rPr>
                <w:rFonts w:ascii="宋体" w:hAnsi="宋体"/>
                <w:bCs/>
                <w:color w:val="000000"/>
                <w:sz w:val="24"/>
              </w:rPr>
            </w:pPr>
          </w:p>
        </w:tc>
        <w:tc>
          <w:tcPr>
            <w:tcW w:w="1043" w:type="dxa"/>
            <w:vAlign w:val="center"/>
          </w:tcPr>
          <w:p>
            <w:pPr>
              <w:pStyle w:val="3"/>
              <w:overflowPunct w:val="0"/>
              <w:spacing w:line="360" w:lineRule="auto"/>
              <w:ind w:firstLine="480"/>
              <w:jc w:val="center"/>
              <w:rPr>
                <w:rFonts w:ascii="宋体" w:hAnsi="宋体"/>
                <w:bCs/>
                <w:color w:val="000000"/>
                <w:sz w:val="24"/>
              </w:rPr>
            </w:pPr>
          </w:p>
        </w:tc>
      </w:tr>
    </w:tbl>
    <w:p>
      <w:pPr>
        <w:spacing w:line="440" w:lineRule="exact"/>
        <w:rPr>
          <w:rFonts w:ascii="宋体" w:hAnsi="宋体"/>
          <w:b/>
          <w:sz w:val="24"/>
        </w:rPr>
      </w:pPr>
      <w:r>
        <w:rPr>
          <w:rFonts w:ascii="宋体" w:hAnsi="宋体"/>
          <w:bCs/>
          <w:color w:val="000000"/>
          <w:sz w:val="24"/>
        </w:rPr>
        <w:t>注：投标人应提供合同复印件，否则将不作为评标的依据。</w:t>
      </w:r>
    </w:p>
    <w:p>
      <w:pPr>
        <w:spacing w:line="440" w:lineRule="exact"/>
        <w:rPr>
          <w:rFonts w:ascii="宋体" w:hAnsi="宋体"/>
          <w:b/>
          <w:sz w:val="24"/>
        </w:rPr>
      </w:pPr>
    </w:p>
    <w:p>
      <w:pPr>
        <w:pStyle w:val="10"/>
        <w:spacing w:before="0" w:beforeAutospacing="0" w:after="0" w:afterAutospacing="0" w:line="360" w:lineRule="auto"/>
      </w:pPr>
      <w:r>
        <w:rPr>
          <w:rFonts w:hint="eastAsia"/>
          <w:b/>
        </w:rPr>
        <w:t xml:space="preserve">                                  </w:t>
      </w:r>
      <w:r>
        <w:rPr>
          <w:rFonts w:hint="eastAsia"/>
        </w:rPr>
        <w:t>投标单位：（公章）</w:t>
      </w:r>
    </w:p>
    <w:p>
      <w:pPr>
        <w:pStyle w:val="10"/>
        <w:spacing w:before="0" w:beforeAutospacing="0" w:after="0" w:afterAutospacing="0" w:line="360" w:lineRule="auto"/>
      </w:pPr>
      <w:r>
        <w:rPr>
          <w:rFonts w:hint="eastAsia"/>
        </w:rPr>
        <w:t xml:space="preserve">                                法定代表人：（签字或盖章）</w:t>
      </w:r>
    </w:p>
    <w:p>
      <w:pPr>
        <w:pStyle w:val="10"/>
        <w:spacing w:before="0" w:beforeAutospacing="0" w:after="0" w:afterAutospacing="0" w:line="360" w:lineRule="auto"/>
      </w:pPr>
      <w:r>
        <w:rPr>
          <w:rFonts w:hint="eastAsia"/>
        </w:rPr>
        <w:t xml:space="preserve">                                   代理人：（签字或盖章）</w:t>
      </w:r>
    </w:p>
    <w:p>
      <w:pPr>
        <w:spacing w:line="440" w:lineRule="exact"/>
        <w:rPr>
          <w:rFonts w:hint="eastAsia"/>
          <w:sz w:val="24"/>
        </w:rPr>
      </w:pPr>
      <w:r>
        <w:rPr>
          <w:rFonts w:hint="eastAsia"/>
          <w:sz w:val="24"/>
        </w:rPr>
        <w:t xml:space="preserve">                                      年     月     日</w:t>
      </w:r>
    </w:p>
    <w:p>
      <w:pPr>
        <w:spacing w:line="440" w:lineRule="exact"/>
        <w:rPr>
          <w:rFonts w:hint="eastAsia"/>
          <w:sz w:val="24"/>
        </w:rPr>
      </w:pPr>
    </w:p>
    <w:p>
      <w:pPr>
        <w:spacing w:line="440" w:lineRule="exact"/>
        <w:rPr>
          <w:rFonts w:hint="eastAsia"/>
          <w:sz w:val="24"/>
        </w:rPr>
      </w:pPr>
    </w:p>
    <w:p>
      <w:pPr>
        <w:numPr>
          <w:ilvl w:val="0"/>
          <w:numId w:val="11"/>
        </w:numPr>
        <w:snapToGrid w:val="0"/>
        <w:spacing w:line="360" w:lineRule="auto"/>
        <w:ind w:firstLine="482" w:firstLineChars="200"/>
        <w:rPr>
          <w:rFonts w:hint="eastAsia" w:ascii="宋体" w:hAnsi="宋体"/>
          <w:b/>
          <w:sz w:val="24"/>
        </w:rPr>
      </w:pPr>
      <w:r>
        <w:rPr>
          <w:rFonts w:hint="eastAsia" w:ascii="宋体" w:hAnsi="宋体"/>
          <w:b/>
          <w:sz w:val="24"/>
        </w:rPr>
        <w:t>合同</w:t>
      </w:r>
    </w:p>
    <w:p>
      <w:pPr>
        <w:numPr>
          <w:numId w:val="0"/>
        </w:numPr>
        <w:snapToGrid w:val="0"/>
        <w:spacing w:line="360" w:lineRule="auto"/>
        <w:ind w:firstLine="480" w:firstLineChars="200"/>
        <w:rPr>
          <w:rFonts w:hint="eastAsia" w:ascii="宋体" w:hAnsi="宋体" w:cs="宋体"/>
          <w:bCs/>
          <w:sz w:val="24"/>
        </w:rPr>
      </w:pPr>
      <w:r>
        <w:rPr>
          <w:rFonts w:hint="eastAsia" w:ascii="宋体" w:hAnsi="宋体" w:cs="宋体"/>
          <w:bCs/>
          <w:sz w:val="24"/>
        </w:rPr>
        <w:t>以下为中标后签定本项目合同的通用条款，中标人不得提出实质性的修改，关于专用条款将由采购人与中标人结合本项目具体情况协商后签订。</w:t>
      </w:r>
    </w:p>
    <w:p>
      <w:pPr>
        <w:widowControl/>
        <w:snapToGrid w:val="0"/>
        <w:spacing w:line="360" w:lineRule="auto"/>
        <w:jc w:val="left"/>
        <w:rPr>
          <w:rFonts w:hint="eastAsia" w:ascii="宋体" w:hAnsi="宋体" w:cs="宋体"/>
          <w:bCs/>
          <w:sz w:val="24"/>
        </w:rPr>
        <w:sectPr>
          <w:pgSz w:w="11906" w:h="16838"/>
          <w:pgMar w:top="1134" w:right="1418" w:bottom="1134" w:left="1418" w:header="851" w:footer="992" w:gutter="0"/>
          <w:cols w:space="425" w:num="1"/>
          <w:docGrid w:type="lines" w:linePitch="312" w:charSpace="0"/>
        </w:sectPr>
      </w:pPr>
    </w:p>
    <w:p>
      <w:pPr>
        <w:widowControl/>
        <w:snapToGrid w:val="0"/>
        <w:spacing w:line="360" w:lineRule="auto"/>
        <w:jc w:val="left"/>
        <w:rPr>
          <w:rFonts w:hint="eastAsia" w:ascii="宋体" w:hAnsi="宋体" w:cs="宋体"/>
          <w:bCs/>
          <w:sz w:val="24"/>
        </w:rPr>
      </w:pPr>
    </w:p>
    <w:p>
      <w:pPr>
        <w:widowControl/>
        <w:snapToGrid w:val="0"/>
        <w:spacing w:line="360" w:lineRule="auto"/>
        <w:ind w:firstLine="883" w:firstLineChars="200"/>
        <w:jc w:val="center"/>
        <w:rPr>
          <w:rFonts w:asciiTheme="minorEastAsia" w:hAnsiTheme="minorEastAsia"/>
          <w:b/>
          <w:sz w:val="24"/>
        </w:rPr>
      </w:pPr>
      <w:r>
        <w:rPr>
          <w:rFonts w:hint="eastAsia" w:asciiTheme="minorEastAsia" w:hAnsiTheme="minorEastAsia"/>
          <w:b/>
          <w:bCs/>
          <w:kern w:val="44"/>
          <w:sz w:val="44"/>
          <w:szCs w:val="44"/>
        </w:rPr>
        <w:t>江苏开放大学合同专用条款</w:t>
      </w:r>
    </w:p>
    <w:p>
      <w:pPr>
        <w:widowControl/>
        <w:snapToGrid w:val="0"/>
        <w:spacing w:before="19" w:line="360" w:lineRule="auto"/>
        <w:rPr>
          <w:rFonts w:asciiTheme="minorEastAsia" w:hAnsiTheme="minorEastAsia"/>
          <w:b/>
          <w:sz w:val="24"/>
          <w:u w:val="single"/>
        </w:rPr>
      </w:pPr>
      <w:bookmarkStart w:id="1" w:name="hetongStart"/>
      <w:bookmarkEnd w:id="1"/>
      <w:r>
        <w:rPr>
          <w:rFonts w:hint="eastAsia" w:asciiTheme="minorEastAsia" w:hAnsiTheme="minorEastAsia"/>
          <w:sz w:val="24"/>
        </w:rPr>
        <w:t>甲方:</w:t>
      </w:r>
      <w:bookmarkStart w:id="2" w:name="purchase_start"/>
      <w:bookmarkEnd w:id="2"/>
      <w:bookmarkStart w:id="3" w:name="purchase_name"/>
      <w:bookmarkEnd w:id="3"/>
      <w:r>
        <w:rPr>
          <w:rFonts w:hint="eastAsia" w:asciiTheme="minorEastAsia" w:hAnsiTheme="minorEastAsia"/>
          <w:sz w:val="24"/>
        </w:rPr>
        <w:t xml:space="preserve"> 江苏</w:t>
      </w:r>
      <w:bookmarkStart w:id="4" w:name="purchase_end"/>
      <w:bookmarkEnd w:id="4"/>
      <w:r>
        <w:rPr>
          <w:rFonts w:hint="eastAsia" w:asciiTheme="minorEastAsia" w:hAnsiTheme="minorEastAsia"/>
          <w:sz w:val="24"/>
          <w:lang w:val="en-US" w:eastAsia="zh-CN"/>
        </w:rPr>
        <w:t>开放大学</w:t>
      </w:r>
    </w:p>
    <w:p>
      <w:pPr>
        <w:widowControl/>
        <w:snapToGrid w:val="0"/>
        <w:spacing w:before="19" w:line="360" w:lineRule="auto"/>
        <w:rPr>
          <w:rFonts w:asciiTheme="minorEastAsia" w:hAnsiTheme="minorEastAsia"/>
          <w:sz w:val="24"/>
          <w:u w:val="single"/>
        </w:rPr>
      </w:pPr>
      <w:r>
        <w:rPr>
          <w:rFonts w:hint="eastAsia" w:asciiTheme="minorEastAsia" w:hAnsiTheme="minorEastAsia"/>
          <w:sz w:val="24"/>
        </w:rPr>
        <w:t>乙方:</w:t>
      </w:r>
      <w:bookmarkStart w:id="5" w:name="suppliers_name"/>
      <w:bookmarkEnd w:id="5"/>
    </w:p>
    <w:p>
      <w:pPr>
        <w:widowControl/>
        <w:snapToGrid w:val="0"/>
        <w:spacing w:before="19" w:line="360" w:lineRule="auto"/>
        <w:ind w:firstLine="600"/>
        <w:rPr>
          <w:rFonts w:asciiTheme="minorEastAsia" w:hAnsiTheme="minorEastAsia"/>
          <w:sz w:val="24"/>
        </w:rPr>
      </w:pPr>
      <w:r>
        <w:rPr>
          <w:rFonts w:hint="eastAsia" w:asciiTheme="minorEastAsia" w:hAnsiTheme="minorEastAsia"/>
          <w:sz w:val="24"/>
        </w:rPr>
        <w:t>甲乙双方根据采购编号</w:t>
      </w:r>
      <w:r>
        <w:rPr>
          <w:rFonts w:hint="eastAsia" w:asciiTheme="minorEastAsia" w:hAnsiTheme="minorEastAsia"/>
          <w:sz w:val="24"/>
          <w:u w:val="single"/>
        </w:rPr>
        <w:t xml:space="preserve">         </w:t>
      </w:r>
      <w:r>
        <w:rPr>
          <w:rFonts w:hint="eastAsia" w:asciiTheme="minorEastAsia" w:hAnsiTheme="minorEastAsia"/>
          <w:sz w:val="24"/>
        </w:rPr>
        <w:t>的项目</w:t>
      </w:r>
      <w:r>
        <w:rPr>
          <w:rFonts w:hint="eastAsia" w:cs="宋体" w:asciiTheme="minorEastAsia" w:hAnsiTheme="minorEastAsia"/>
          <w:sz w:val="24"/>
          <w:u w:val="single"/>
        </w:rPr>
        <w:t>校内公开招标</w:t>
      </w:r>
      <w:r>
        <w:rPr>
          <w:rFonts w:hint="eastAsia" w:asciiTheme="minorEastAsia" w:hAnsiTheme="minorEastAsia"/>
          <w:sz w:val="24"/>
        </w:rPr>
        <w:t>采购结果及采购文件的要求,经协商一致,达成如下货物购销合同:</w:t>
      </w:r>
    </w:p>
    <w:p>
      <w:pPr>
        <w:widowControl/>
        <w:snapToGrid w:val="0"/>
        <w:spacing w:before="19" w:line="360" w:lineRule="auto"/>
        <w:ind w:firstLine="600"/>
        <w:rPr>
          <w:rFonts w:asciiTheme="minorEastAsia" w:hAnsiTheme="minorEastAsia"/>
          <w:sz w:val="24"/>
        </w:rPr>
      </w:pPr>
      <w:r>
        <w:rPr>
          <w:rFonts w:hint="eastAsia" w:asciiTheme="minorEastAsia" w:hAnsiTheme="minorEastAsia"/>
          <w:sz w:val="24"/>
        </w:rPr>
        <w:t>一、</w:t>
      </w:r>
      <w:r>
        <w:rPr>
          <w:rFonts w:hint="eastAsia" w:asciiTheme="minorEastAsia" w:hAnsiTheme="minorEastAsia"/>
          <w:b/>
          <w:bCs/>
          <w:sz w:val="24"/>
        </w:rPr>
        <w:t>货物及其数量、金额等</w:t>
      </w:r>
    </w:p>
    <w:tbl>
      <w:tblPr>
        <w:tblStyle w:val="14"/>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 w:type="dxa"/>
            <w:vAlign w:val="center"/>
          </w:tcPr>
          <w:p>
            <w:pPr>
              <w:spacing w:line="360" w:lineRule="auto"/>
              <w:jc w:val="center"/>
              <w:rPr>
                <w:rFonts w:asciiTheme="minorEastAsia" w:hAnsiTheme="minorEastAsia"/>
                <w:sz w:val="24"/>
              </w:rPr>
            </w:pPr>
            <w:r>
              <w:rPr>
                <w:rFonts w:hint="eastAsia" w:asciiTheme="minorEastAsia" w:hAnsiTheme="minorEastAsia"/>
                <w:sz w:val="24"/>
              </w:rPr>
              <w:t>序号</w:t>
            </w:r>
          </w:p>
        </w:tc>
        <w:tc>
          <w:tcPr>
            <w:tcW w:w="1125" w:type="dxa"/>
            <w:gridSpan w:val="2"/>
            <w:vAlign w:val="center"/>
          </w:tcPr>
          <w:p>
            <w:pPr>
              <w:spacing w:line="360" w:lineRule="auto"/>
              <w:jc w:val="center"/>
              <w:rPr>
                <w:rFonts w:hint="eastAsia" w:asciiTheme="minorEastAsia" w:hAnsiTheme="minorEastAsia"/>
                <w:sz w:val="24"/>
              </w:rPr>
            </w:pPr>
            <w:r>
              <w:rPr>
                <w:rFonts w:hint="eastAsia" w:asciiTheme="minorEastAsia" w:hAnsiTheme="minorEastAsia"/>
                <w:sz w:val="24"/>
              </w:rPr>
              <w:t>项目</w:t>
            </w:r>
          </w:p>
          <w:p>
            <w:pPr>
              <w:spacing w:line="360" w:lineRule="auto"/>
              <w:jc w:val="center"/>
              <w:rPr>
                <w:rFonts w:asciiTheme="minorEastAsia" w:hAnsiTheme="minorEastAsia"/>
                <w:sz w:val="24"/>
              </w:rPr>
            </w:pPr>
            <w:r>
              <w:rPr>
                <w:rFonts w:hint="eastAsia" w:asciiTheme="minorEastAsia" w:hAnsiTheme="minorEastAsia"/>
                <w:sz w:val="24"/>
              </w:rPr>
              <w:t>名称</w:t>
            </w:r>
          </w:p>
        </w:tc>
        <w:tc>
          <w:tcPr>
            <w:tcW w:w="1620" w:type="dxa"/>
            <w:vAlign w:val="center"/>
          </w:tcPr>
          <w:p>
            <w:pPr>
              <w:spacing w:line="360" w:lineRule="auto"/>
              <w:jc w:val="center"/>
              <w:rPr>
                <w:rFonts w:asciiTheme="minorEastAsia" w:hAnsiTheme="minorEastAsia"/>
                <w:sz w:val="24"/>
              </w:rPr>
            </w:pPr>
            <w:r>
              <w:rPr>
                <w:rFonts w:hint="eastAsia" w:asciiTheme="minorEastAsia" w:hAnsiTheme="minorEastAsia"/>
                <w:sz w:val="24"/>
              </w:rPr>
              <w:t>规格型号</w:t>
            </w:r>
          </w:p>
        </w:tc>
        <w:tc>
          <w:tcPr>
            <w:tcW w:w="878" w:type="dxa"/>
            <w:vAlign w:val="center"/>
          </w:tcPr>
          <w:p>
            <w:pPr>
              <w:spacing w:line="360" w:lineRule="auto"/>
              <w:jc w:val="center"/>
              <w:rPr>
                <w:rFonts w:asciiTheme="minorEastAsia" w:hAnsiTheme="minorEastAsia"/>
                <w:sz w:val="24"/>
              </w:rPr>
            </w:pPr>
            <w:r>
              <w:rPr>
                <w:rFonts w:hint="eastAsia" w:asciiTheme="minorEastAsia" w:hAnsiTheme="minorEastAsia"/>
                <w:sz w:val="24"/>
              </w:rPr>
              <w:t>数量</w:t>
            </w:r>
          </w:p>
        </w:tc>
        <w:tc>
          <w:tcPr>
            <w:tcW w:w="1102" w:type="dxa"/>
            <w:vAlign w:val="center"/>
          </w:tcPr>
          <w:p>
            <w:pPr>
              <w:spacing w:line="360" w:lineRule="auto"/>
              <w:jc w:val="center"/>
              <w:rPr>
                <w:rFonts w:asciiTheme="minorEastAsia" w:hAnsiTheme="minorEastAsia"/>
                <w:sz w:val="24"/>
              </w:rPr>
            </w:pPr>
            <w:r>
              <w:rPr>
                <w:rFonts w:hint="eastAsia" w:asciiTheme="minorEastAsia" w:hAnsiTheme="minorEastAsia"/>
                <w:sz w:val="24"/>
              </w:rPr>
              <w:t>单价</w:t>
            </w:r>
          </w:p>
        </w:tc>
        <w:tc>
          <w:tcPr>
            <w:tcW w:w="1094" w:type="dxa"/>
            <w:shd w:val="clear" w:color="auto" w:fill="auto"/>
            <w:vAlign w:val="center"/>
          </w:tcPr>
          <w:p>
            <w:pPr>
              <w:spacing w:line="360" w:lineRule="auto"/>
              <w:jc w:val="center"/>
              <w:rPr>
                <w:rFonts w:asciiTheme="minorEastAsia" w:hAnsiTheme="minorEastAsia"/>
                <w:sz w:val="24"/>
              </w:rPr>
            </w:pPr>
            <w:r>
              <w:rPr>
                <w:rFonts w:hint="eastAsia" w:asciiTheme="minorEastAsia" w:hAnsiTheme="minorEastAsia"/>
                <w:sz w:val="24"/>
              </w:rPr>
              <w:t>总价</w:t>
            </w:r>
          </w:p>
        </w:tc>
        <w:tc>
          <w:tcPr>
            <w:tcW w:w="1090" w:type="dxa"/>
            <w:shd w:val="clear" w:color="auto" w:fill="auto"/>
            <w:vAlign w:val="center"/>
          </w:tcPr>
          <w:p>
            <w:pPr>
              <w:spacing w:line="360" w:lineRule="auto"/>
              <w:jc w:val="center"/>
              <w:rPr>
                <w:rFonts w:hint="eastAsia" w:asciiTheme="minorEastAsia" w:hAnsiTheme="minorEastAsia"/>
                <w:b w:val="0"/>
                <w:bCs w:val="0"/>
                <w:sz w:val="24"/>
              </w:rPr>
            </w:pPr>
            <w:r>
              <w:rPr>
                <w:rFonts w:hint="eastAsia" w:asciiTheme="minorEastAsia" w:hAnsiTheme="minorEastAsia"/>
                <w:b w:val="0"/>
                <w:bCs w:val="0"/>
                <w:sz w:val="24"/>
              </w:rPr>
              <w:t>免费</w:t>
            </w:r>
          </w:p>
          <w:p>
            <w:pPr>
              <w:spacing w:line="360" w:lineRule="auto"/>
              <w:jc w:val="center"/>
              <w:rPr>
                <w:rFonts w:asciiTheme="minorEastAsia" w:hAnsiTheme="minorEastAsia"/>
                <w:sz w:val="24"/>
              </w:rPr>
            </w:pPr>
            <w:r>
              <w:rPr>
                <w:rFonts w:hint="eastAsia" w:asciiTheme="minorEastAsia" w:hAnsiTheme="minorEastAsia"/>
                <w:b w:val="0"/>
                <w:bCs w:val="0"/>
                <w:sz w:val="24"/>
              </w:rPr>
              <w:t>质保期</w:t>
            </w:r>
          </w:p>
        </w:tc>
        <w:tc>
          <w:tcPr>
            <w:tcW w:w="993" w:type="dxa"/>
            <w:shd w:val="clear" w:color="auto" w:fill="auto"/>
            <w:vAlign w:val="center"/>
          </w:tcPr>
          <w:p>
            <w:pPr>
              <w:spacing w:line="360" w:lineRule="auto"/>
              <w:jc w:val="center"/>
              <w:rPr>
                <w:rFonts w:asciiTheme="minorEastAsia" w:hAnsiTheme="minorEastAsia"/>
                <w:sz w:val="24"/>
              </w:rPr>
            </w:pPr>
            <w:r>
              <w:rPr>
                <w:rFonts w:hint="eastAsia" w:asciiTheme="minorEastAsia" w:hAnsiTheme="minorEastAsia"/>
                <w:sz w:val="24"/>
              </w:rPr>
              <w:t>交货时间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shd w:val="clear" w:color="auto" w:fill="auto"/>
            <w:vAlign w:val="center"/>
          </w:tcPr>
          <w:p>
            <w:pPr>
              <w:spacing w:line="360" w:lineRule="auto"/>
              <w:jc w:val="center"/>
              <w:rPr>
                <w:rFonts w:asciiTheme="minorEastAsia" w:hAnsiTheme="minorEastAsia"/>
                <w:sz w:val="24"/>
              </w:rPr>
            </w:pPr>
            <w:bookmarkStart w:id="6" w:name="Ord_Seq_Name"/>
            <w:bookmarkEnd w:id="6"/>
            <w:r>
              <w:rPr>
                <w:rFonts w:hint="eastAsia" w:asciiTheme="minorEastAsia" w:hAnsiTheme="minorEastAsia"/>
                <w:sz w:val="24"/>
              </w:rPr>
              <w:t>1</w:t>
            </w:r>
          </w:p>
        </w:tc>
        <w:tc>
          <w:tcPr>
            <w:tcW w:w="1125" w:type="dxa"/>
            <w:gridSpan w:val="2"/>
            <w:vAlign w:val="center"/>
          </w:tcPr>
          <w:p>
            <w:pPr>
              <w:spacing w:line="360" w:lineRule="auto"/>
              <w:jc w:val="center"/>
              <w:rPr>
                <w:rFonts w:asciiTheme="minorEastAsia" w:hAnsiTheme="minorEastAsia"/>
                <w:sz w:val="24"/>
              </w:rPr>
            </w:pPr>
          </w:p>
        </w:tc>
        <w:tc>
          <w:tcPr>
            <w:tcW w:w="1620" w:type="dxa"/>
            <w:shd w:val="clear" w:color="auto" w:fill="auto"/>
            <w:vAlign w:val="center"/>
          </w:tcPr>
          <w:p>
            <w:pPr>
              <w:spacing w:line="360" w:lineRule="auto"/>
              <w:jc w:val="center"/>
              <w:rPr>
                <w:rFonts w:hint="eastAsia" w:asciiTheme="minorEastAsia" w:hAnsiTheme="minorEastAsia"/>
                <w:sz w:val="24"/>
              </w:rPr>
            </w:pPr>
            <w:r>
              <w:rPr>
                <w:rFonts w:hint="eastAsia" w:asciiTheme="minorEastAsia" w:hAnsiTheme="minorEastAsia"/>
                <w:sz w:val="24"/>
              </w:rPr>
              <w:t>详见</w:t>
            </w:r>
          </w:p>
          <w:p>
            <w:pPr>
              <w:spacing w:line="360" w:lineRule="auto"/>
              <w:jc w:val="center"/>
              <w:rPr>
                <w:rFonts w:asciiTheme="minorEastAsia" w:hAnsiTheme="minorEastAsia"/>
                <w:sz w:val="24"/>
              </w:rPr>
            </w:pPr>
            <w:r>
              <w:rPr>
                <w:rFonts w:hint="eastAsia" w:asciiTheme="minorEastAsia" w:hAnsiTheme="minorEastAsia"/>
                <w:sz w:val="24"/>
              </w:rPr>
              <w:t>招标文件</w:t>
            </w:r>
          </w:p>
        </w:tc>
        <w:tc>
          <w:tcPr>
            <w:tcW w:w="878" w:type="dxa"/>
            <w:shd w:val="clear" w:color="auto" w:fill="auto"/>
            <w:vAlign w:val="center"/>
          </w:tcPr>
          <w:p>
            <w:pPr>
              <w:spacing w:line="360" w:lineRule="auto"/>
              <w:jc w:val="center"/>
              <w:rPr>
                <w:rFonts w:asciiTheme="minorEastAsia" w:hAnsiTheme="minorEastAsia"/>
                <w:sz w:val="24"/>
              </w:rPr>
            </w:pPr>
          </w:p>
        </w:tc>
        <w:tc>
          <w:tcPr>
            <w:tcW w:w="1102" w:type="dxa"/>
            <w:shd w:val="clear" w:color="auto" w:fill="auto"/>
            <w:vAlign w:val="center"/>
          </w:tcPr>
          <w:p>
            <w:pPr>
              <w:spacing w:line="360" w:lineRule="auto"/>
              <w:jc w:val="center"/>
              <w:rPr>
                <w:rFonts w:asciiTheme="minorEastAsia" w:hAnsiTheme="minorEastAsia"/>
                <w:sz w:val="24"/>
              </w:rPr>
            </w:pPr>
          </w:p>
        </w:tc>
        <w:tc>
          <w:tcPr>
            <w:tcW w:w="1094" w:type="dxa"/>
            <w:shd w:val="clear" w:color="auto" w:fill="auto"/>
            <w:vAlign w:val="center"/>
          </w:tcPr>
          <w:p>
            <w:pPr>
              <w:spacing w:line="360" w:lineRule="auto"/>
              <w:jc w:val="center"/>
              <w:rPr>
                <w:rFonts w:asciiTheme="minorEastAsia" w:hAnsiTheme="minorEastAsia"/>
                <w:sz w:val="24"/>
              </w:rPr>
            </w:pPr>
          </w:p>
        </w:tc>
        <w:tc>
          <w:tcPr>
            <w:tcW w:w="1090" w:type="dxa"/>
            <w:shd w:val="clear" w:color="auto" w:fill="auto"/>
            <w:vAlign w:val="center"/>
          </w:tcPr>
          <w:p>
            <w:pPr>
              <w:spacing w:line="360" w:lineRule="auto"/>
              <w:jc w:val="center"/>
              <w:rPr>
                <w:rFonts w:asciiTheme="minorEastAsia" w:hAnsiTheme="minorEastAsia"/>
                <w:sz w:val="24"/>
              </w:rPr>
            </w:pPr>
          </w:p>
        </w:tc>
        <w:tc>
          <w:tcPr>
            <w:tcW w:w="993" w:type="dxa"/>
            <w:shd w:val="clear" w:color="auto" w:fill="auto"/>
            <w:vAlign w:val="center"/>
          </w:tcPr>
          <w:p>
            <w:pPr>
              <w:spacing w:line="360" w:lineRule="auto"/>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shd w:val="clear" w:color="auto" w:fill="auto"/>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125" w:type="dxa"/>
            <w:gridSpan w:val="2"/>
            <w:vAlign w:val="center"/>
          </w:tcPr>
          <w:p>
            <w:pPr>
              <w:spacing w:line="360" w:lineRule="auto"/>
              <w:jc w:val="center"/>
              <w:rPr>
                <w:rFonts w:asciiTheme="minorEastAsia" w:hAnsiTheme="minorEastAsia"/>
                <w:sz w:val="24"/>
              </w:rPr>
            </w:pPr>
          </w:p>
        </w:tc>
        <w:tc>
          <w:tcPr>
            <w:tcW w:w="1620" w:type="dxa"/>
            <w:shd w:val="clear" w:color="auto" w:fill="auto"/>
            <w:vAlign w:val="center"/>
          </w:tcPr>
          <w:p>
            <w:pPr>
              <w:spacing w:line="360" w:lineRule="auto"/>
              <w:jc w:val="center"/>
              <w:rPr>
                <w:rFonts w:hint="eastAsia" w:asciiTheme="minorEastAsia" w:hAnsiTheme="minorEastAsia"/>
                <w:sz w:val="24"/>
              </w:rPr>
            </w:pPr>
            <w:r>
              <w:rPr>
                <w:rFonts w:hint="eastAsia" w:asciiTheme="minorEastAsia" w:hAnsiTheme="minorEastAsia"/>
                <w:sz w:val="24"/>
              </w:rPr>
              <w:t>详见</w:t>
            </w:r>
          </w:p>
          <w:p>
            <w:pPr>
              <w:spacing w:line="360" w:lineRule="auto"/>
              <w:jc w:val="center"/>
              <w:rPr>
                <w:rFonts w:asciiTheme="minorEastAsia" w:hAnsiTheme="minorEastAsia"/>
                <w:sz w:val="24"/>
              </w:rPr>
            </w:pPr>
            <w:r>
              <w:rPr>
                <w:rFonts w:hint="eastAsia" w:asciiTheme="minorEastAsia" w:hAnsiTheme="minorEastAsia"/>
                <w:sz w:val="24"/>
              </w:rPr>
              <w:t>招标文件</w:t>
            </w:r>
          </w:p>
        </w:tc>
        <w:tc>
          <w:tcPr>
            <w:tcW w:w="878" w:type="dxa"/>
            <w:shd w:val="clear" w:color="auto" w:fill="auto"/>
            <w:vAlign w:val="center"/>
          </w:tcPr>
          <w:p>
            <w:pPr>
              <w:spacing w:line="360" w:lineRule="auto"/>
              <w:jc w:val="center"/>
              <w:rPr>
                <w:rFonts w:asciiTheme="minorEastAsia" w:hAnsiTheme="minorEastAsia"/>
                <w:sz w:val="24"/>
              </w:rPr>
            </w:pPr>
          </w:p>
        </w:tc>
        <w:tc>
          <w:tcPr>
            <w:tcW w:w="1102" w:type="dxa"/>
            <w:shd w:val="clear" w:color="auto" w:fill="auto"/>
            <w:vAlign w:val="center"/>
          </w:tcPr>
          <w:p>
            <w:pPr>
              <w:spacing w:line="360" w:lineRule="auto"/>
              <w:jc w:val="center"/>
              <w:rPr>
                <w:rFonts w:asciiTheme="minorEastAsia" w:hAnsiTheme="minorEastAsia"/>
                <w:sz w:val="24"/>
              </w:rPr>
            </w:pPr>
          </w:p>
        </w:tc>
        <w:tc>
          <w:tcPr>
            <w:tcW w:w="1094" w:type="dxa"/>
            <w:shd w:val="clear" w:color="auto" w:fill="auto"/>
            <w:vAlign w:val="center"/>
          </w:tcPr>
          <w:p>
            <w:pPr>
              <w:spacing w:line="360" w:lineRule="auto"/>
              <w:jc w:val="center"/>
              <w:rPr>
                <w:rFonts w:asciiTheme="minorEastAsia" w:hAnsiTheme="minorEastAsia"/>
                <w:sz w:val="24"/>
              </w:rPr>
            </w:pPr>
          </w:p>
        </w:tc>
        <w:tc>
          <w:tcPr>
            <w:tcW w:w="1090" w:type="dxa"/>
            <w:shd w:val="clear" w:color="auto" w:fill="auto"/>
            <w:vAlign w:val="center"/>
          </w:tcPr>
          <w:p>
            <w:pPr>
              <w:spacing w:line="360" w:lineRule="auto"/>
              <w:jc w:val="center"/>
              <w:rPr>
                <w:rFonts w:asciiTheme="minorEastAsia" w:hAnsiTheme="minorEastAsia"/>
                <w:sz w:val="24"/>
              </w:rPr>
            </w:pPr>
          </w:p>
        </w:tc>
        <w:tc>
          <w:tcPr>
            <w:tcW w:w="993" w:type="dxa"/>
            <w:shd w:val="clear" w:color="auto" w:fill="auto"/>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shd w:val="clear" w:color="auto" w:fill="auto"/>
            <w:vAlign w:val="center"/>
          </w:tcPr>
          <w:p>
            <w:pPr>
              <w:spacing w:line="360" w:lineRule="auto"/>
              <w:jc w:val="center"/>
              <w:rPr>
                <w:rFonts w:asciiTheme="minorEastAsia" w:hAnsiTheme="minorEastAsia"/>
                <w:sz w:val="24"/>
              </w:rPr>
            </w:pPr>
            <w:r>
              <w:rPr>
                <w:rFonts w:hint="eastAsia" w:asciiTheme="minorEastAsia" w:hAnsiTheme="minorEastAsia"/>
                <w:sz w:val="24"/>
              </w:rPr>
              <w:t>3</w:t>
            </w:r>
          </w:p>
        </w:tc>
        <w:tc>
          <w:tcPr>
            <w:tcW w:w="1125" w:type="dxa"/>
            <w:gridSpan w:val="2"/>
            <w:vAlign w:val="center"/>
          </w:tcPr>
          <w:p>
            <w:pPr>
              <w:spacing w:line="360" w:lineRule="auto"/>
              <w:jc w:val="center"/>
              <w:rPr>
                <w:rFonts w:asciiTheme="minorEastAsia" w:hAnsiTheme="minorEastAsia"/>
                <w:sz w:val="24"/>
              </w:rPr>
            </w:pPr>
          </w:p>
        </w:tc>
        <w:tc>
          <w:tcPr>
            <w:tcW w:w="1620" w:type="dxa"/>
            <w:shd w:val="clear" w:color="auto" w:fill="auto"/>
            <w:vAlign w:val="center"/>
          </w:tcPr>
          <w:p>
            <w:pPr>
              <w:spacing w:line="360" w:lineRule="auto"/>
              <w:jc w:val="center"/>
              <w:rPr>
                <w:rFonts w:asciiTheme="minorEastAsia" w:hAnsiTheme="minorEastAsia"/>
                <w:sz w:val="24"/>
              </w:rPr>
            </w:pPr>
          </w:p>
        </w:tc>
        <w:tc>
          <w:tcPr>
            <w:tcW w:w="878" w:type="dxa"/>
            <w:shd w:val="clear" w:color="auto" w:fill="auto"/>
            <w:vAlign w:val="center"/>
          </w:tcPr>
          <w:p>
            <w:pPr>
              <w:spacing w:line="360" w:lineRule="auto"/>
              <w:jc w:val="center"/>
              <w:rPr>
                <w:rFonts w:asciiTheme="minorEastAsia" w:hAnsiTheme="minorEastAsia"/>
                <w:sz w:val="24"/>
              </w:rPr>
            </w:pPr>
          </w:p>
        </w:tc>
        <w:tc>
          <w:tcPr>
            <w:tcW w:w="1102" w:type="dxa"/>
            <w:shd w:val="clear" w:color="auto" w:fill="auto"/>
            <w:vAlign w:val="center"/>
          </w:tcPr>
          <w:p>
            <w:pPr>
              <w:spacing w:line="360" w:lineRule="auto"/>
              <w:jc w:val="center"/>
              <w:rPr>
                <w:rFonts w:asciiTheme="minorEastAsia" w:hAnsiTheme="minorEastAsia"/>
                <w:sz w:val="24"/>
              </w:rPr>
            </w:pPr>
          </w:p>
        </w:tc>
        <w:tc>
          <w:tcPr>
            <w:tcW w:w="1094" w:type="dxa"/>
            <w:shd w:val="clear" w:color="auto" w:fill="auto"/>
            <w:vAlign w:val="center"/>
          </w:tcPr>
          <w:p>
            <w:pPr>
              <w:spacing w:line="360" w:lineRule="auto"/>
              <w:jc w:val="center"/>
              <w:rPr>
                <w:rFonts w:asciiTheme="minorEastAsia" w:hAnsiTheme="minorEastAsia"/>
                <w:sz w:val="24"/>
              </w:rPr>
            </w:pPr>
          </w:p>
        </w:tc>
        <w:tc>
          <w:tcPr>
            <w:tcW w:w="1090" w:type="dxa"/>
            <w:shd w:val="clear" w:color="auto" w:fill="auto"/>
            <w:vAlign w:val="center"/>
          </w:tcPr>
          <w:p>
            <w:pPr>
              <w:spacing w:line="360" w:lineRule="auto"/>
              <w:jc w:val="center"/>
              <w:rPr>
                <w:rFonts w:asciiTheme="minorEastAsia" w:hAnsiTheme="minorEastAsia"/>
                <w:sz w:val="24"/>
              </w:rPr>
            </w:pPr>
          </w:p>
        </w:tc>
        <w:tc>
          <w:tcPr>
            <w:tcW w:w="993" w:type="dxa"/>
            <w:shd w:val="clear" w:color="auto" w:fill="auto"/>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Theme="minorEastAsia" w:hAnsiTheme="minorEastAsia"/>
                <w:sz w:val="24"/>
              </w:rPr>
            </w:pPr>
            <w:r>
              <w:rPr>
                <w:rFonts w:hint="eastAsia" w:asciiTheme="minorEastAsia" w:hAnsiTheme="minorEastAsia"/>
                <w:sz w:val="24"/>
              </w:rPr>
              <w:t>合同总金额：人民币（大写）元整。</w:t>
            </w:r>
          </w:p>
          <w:p>
            <w:pPr>
              <w:spacing w:line="360" w:lineRule="auto"/>
              <w:rPr>
                <w:rFonts w:asciiTheme="minorEastAsia" w:hAnsiTheme="minorEastAsia"/>
                <w:sz w:val="24"/>
                <w:u w:val="single"/>
              </w:rPr>
            </w:pPr>
            <w:r>
              <w:rPr>
                <w:rFonts w:hint="eastAsia" w:asciiTheme="minorEastAsia" w:hAnsiTheme="minorEastAsia"/>
                <w:sz w:val="24"/>
              </w:rPr>
              <w:t xml:space="preserve">                      ￥：</w:t>
            </w:r>
            <w:bookmarkStart w:id="7" w:name="Ppp_Amt_1"/>
            <w:bookmarkEnd w:id="7"/>
            <w:r>
              <w:rPr>
                <w:rFonts w:hint="eastAsia" w:asciiTheme="minorEastAsia" w:hAnsiTheme="minorEastAsia"/>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Theme="minorEastAsia" w:hAnsiTheme="minorEastAsia"/>
                <w:sz w:val="24"/>
              </w:rPr>
            </w:pPr>
            <w:r>
              <w:rPr>
                <w:rFonts w:hint="eastAsia" w:asciiTheme="minorEastAsia" w:hAnsiTheme="minorEastAsia"/>
                <w:sz w:val="24"/>
              </w:rPr>
              <w:t>甲方</w:t>
            </w:r>
          </w:p>
        </w:tc>
        <w:tc>
          <w:tcPr>
            <w:tcW w:w="7317" w:type="dxa"/>
            <w:gridSpan w:val="7"/>
            <w:vAlign w:val="center"/>
          </w:tcPr>
          <w:p>
            <w:pPr>
              <w:spacing w:line="360" w:lineRule="auto"/>
              <w:rPr>
                <w:rFonts w:asciiTheme="minorEastAsia" w:hAnsiTheme="minorEastAsia"/>
                <w:sz w:val="24"/>
              </w:rPr>
            </w:pPr>
            <w:r>
              <w:rPr>
                <w:rFonts w:hint="eastAsia" w:asciiTheme="minorEastAsia" w:hAnsiTheme="minorEastAsia"/>
                <w:sz w:val="24"/>
              </w:rPr>
              <w:t>联系人：</w:t>
            </w:r>
            <w:bookmarkStart w:id="8" w:name="Cus_Usr"/>
            <w:bookmarkEnd w:id="8"/>
          </w:p>
          <w:p>
            <w:pPr>
              <w:spacing w:line="360" w:lineRule="auto"/>
              <w:rPr>
                <w:rFonts w:asciiTheme="minorEastAsia" w:hAnsiTheme="minorEastAsia"/>
                <w:sz w:val="24"/>
              </w:rPr>
            </w:pPr>
            <w:r>
              <w:rPr>
                <w:rFonts w:hint="eastAsia" w:asciiTheme="minorEastAsia" w:hAnsiTheme="minorEastAsia"/>
                <w:sz w:val="24"/>
              </w:rPr>
              <w:t>固定电话：</w:t>
            </w:r>
            <w:bookmarkStart w:id="9" w:name="Cus_Tel"/>
            <w:bookmarkEnd w:id="9"/>
            <w:r>
              <w:rPr>
                <w:rFonts w:hint="eastAsia" w:asciiTheme="minorEastAsia" w:hAnsiTheme="minorEastAsia"/>
                <w:sz w:val="24"/>
              </w:rPr>
              <w:t xml:space="preserve">       移动电话：</w:t>
            </w:r>
            <w:bookmarkStart w:id="10" w:name="Cus_Mob"/>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Theme="minorEastAsia" w:hAnsiTheme="minorEastAsia"/>
                <w:sz w:val="24"/>
              </w:rPr>
            </w:pPr>
            <w:r>
              <w:rPr>
                <w:rFonts w:hint="eastAsia" w:asciiTheme="minorEastAsia" w:hAnsiTheme="minorEastAsia"/>
                <w:sz w:val="24"/>
              </w:rPr>
              <w:t>乙方</w:t>
            </w:r>
          </w:p>
        </w:tc>
        <w:tc>
          <w:tcPr>
            <w:tcW w:w="7317" w:type="dxa"/>
            <w:gridSpan w:val="7"/>
            <w:vAlign w:val="center"/>
          </w:tcPr>
          <w:p>
            <w:pPr>
              <w:spacing w:line="360" w:lineRule="auto"/>
              <w:rPr>
                <w:rFonts w:asciiTheme="minorEastAsia" w:hAnsiTheme="minorEastAsia"/>
                <w:sz w:val="24"/>
              </w:rPr>
            </w:pPr>
            <w:r>
              <w:rPr>
                <w:rFonts w:hint="eastAsia" w:asciiTheme="minorEastAsia" w:hAnsiTheme="minorEastAsia"/>
                <w:sz w:val="24"/>
              </w:rPr>
              <w:t xml:space="preserve">联系人： </w:t>
            </w:r>
            <w:bookmarkStart w:id="11" w:name="Spr_Usr"/>
            <w:bookmarkEnd w:id="11"/>
          </w:p>
          <w:p>
            <w:pPr>
              <w:spacing w:line="360" w:lineRule="auto"/>
              <w:rPr>
                <w:rFonts w:asciiTheme="minorEastAsia" w:hAnsiTheme="minorEastAsia"/>
                <w:sz w:val="24"/>
              </w:rPr>
            </w:pPr>
            <w:r>
              <w:rPr>
                <w:rFonts w:hint="eastAsia" w:asciiTheme="minorEastAsia" w:hAnsiTheme="minorEastAsia"/>
                <w:sz w:val="24"/>
              </w:rPr>
              <w:t>固定电话：</w:t>
            </w:r>
            <w:bookmarkStart w:id="12" w:name="Spr_Tel"/>
            <w:bookmarkEnd w:id="12"/>
            <w:r>
              <w:rPr>
                <w:rFonts w:hint="eastAsia" w:asciiTheme="minorEastAsia" w:hAnsiTheme="minorEastAsia"/>
                <w:sz w:val="24"/>
              </w:rPr>
              <w:t xml:space="preserve">       移动电话：</w:t>
            </w:r>
            <w:bookmarkStart w:id="13" w:name="Spr_Mob"/>
            <w:bookmarkEnd w:id="13"/>
          </w:p>
        </w:tc>
      </w:tr>
    </w:tbl>
    <w:p>
      <w:pPr>
        <w:widowControl/>
        <w:tabs>
          <w:tab w:val="left" w:pos="1980"/>
        </w:tabs>
        <w:snapToGrid w:val="0"/>
        <w:spacing w:before="19" w:line="360" w:lineRule="auto"/>
        <w:ind w:firstLine="480" w:firstLineChars="200"/>
        <w:rPr>
          <w:rFonts w:asciiTheme="minorEastAsia" w:hAnsiTheme="minorEastAsia"/>
          <w:b/>
          <w:bCs/>
          <w:sz w:val="24"/>
        </w:rPr>
      </w:pPr>
      <w:r>
        <w:rPr>
          <w:rFonts w:hint="eastAsia" w:asciiTheme="minorEastAsia" w:hAnsiTheme="minorEastAsia"/>
          <w:sz w:val="24"/>
        </w:rPr>
        <w:t>二</w:t>
      </w:r>
      <w:r>
        <w:rPr>
          <w:rFonts w:hint="eastAsia" w:asciiTheme="minorEastAsia" w:hAnsiTheme="minorEastAsia"/>
          <w:b/>
          <w:bCs/>
          <w:sz w:val="24"/>
        </w:rPr>
        <w:t xml:space="preserve">、交货地点： </w:t>
      </w:r>
      <w:bookmarkStart w:id="14" w:name="Con_Location"/>
      <w:bookmarkEnd w:id="14"/>
    </w:p>
    <w:p>
      <w:pPr>
        <w:widowControl/>
        <w:tabs>
          <w:tab w:val="left" w:pos="1980"/>
        </w:tabs>
        <w:snapToGrid w:val="0"/>
        <w:spacing w:before="19" w:line="360" w:lineRule="auto"/>
        <w:ind w:firstLine="482" w:firstLineChars="200"/>
        <w:rPr>
          <w:rFonts w:hint="eastAsia" w:eastAsia="宋体" w:asciiTheme="minorEastAsia" w:hAnsiTheme="minorEastAsia"/>
          <w:sz w:val="24"/>
          <w:lang w:val="en-US" w:eastAsia="zh-CN"/>
        </w:rPr>
      </w:pPr>
      <w:r>
        <w:rPr>
          <w:rFonts w:hint="eastAsia" w:asciiTheme="minorEastAsia" w:hAnsiTheme="minorEastAsia"/>
          <w:b/>
          <w:bCs/>
          <w:sz w:val="24"/>
        </w:rPr>
        <w:t>三、验收</w:t>
      </w:r>
      <w:r>
        <w:rPr>
          <w:rFonts w:hint="eastAsia" w:asciiTheme="minorEastAsia" w:hAnsiTheme="minorEastAsia"/>
          <w:sz w:val="24"/>
        </w:rPr>
        <w:t>：甲方按询价文件相关要求进行。如需委托第三方验收，第三方是指：</w:t>
      </w:r>
      <w:r>
        <w:rPr>
          <w:rFonts w:hint="eastAsia" w:asciiTheme="minorEastAsia" w:hAnsiTheme="minorEastAsia"/>
          <w:sz w:val="24"/>
          <w:u w:val="single"/>
        </w:rPr>
        <w:t xml:space="preserve">      无       </w:t>
      </w:r>
      <w:r>
        <w:rPr>
          <w:rFonts w:hint="eastAsia" w:asciiTheme="minorEastAsia" w:hAnsiTheme="minorEastAsia"/>
          <w:sz w:val="24"/>
        </w:rPr>
        <w:t>，验收费用由甲方承担。</w:t>
      </w:r>
      <w:r>
        <w:rPr>
          <w:rFonts w:hint="eastAsia" w:cs="宋体" w:asciiTheme="minorEastAsia" w:hAnsiTheme="minorEastAsia"/>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Theme="minorEastAsia" w:hAnsiTheme="minorEastAsia"/>
          <w:sz w:val="24"/>
        </w:rPr>
      </w:pPr>
      <w:r>
        <w:rPr>
          <w:rFonts w:hint="eastAsia" w:asciiTheme="minorEastAsia" w:hAnsiTheme="minorEastAsia"/>
          <w:b/>
          <w:bCs/>
          <w:sz w:val="24"/>
        </w:rPr>
        <w:t>四、付款</w:t>
      </w:r>
      <w:r>
        <w:rPr>
          <w:rFonts w:hint="eastAsia" w:asciiTheme="minorEastAsia" w:hAnsiTheme="minorEastAsia"/>
          <w:sz w:val="24"/>
        </w:rPr>
        <w:t>：由甲方按下列程序付款。</w:t>
      </w:r>
    </w:p>
    <w:p>
      <w:pPr>
        <w:widowControl/>
        <w:snapToGrid w:val="0"/>
        <w:spacing w:before="19" w:line="360" w:lineRule="auto"/>
        <w:ind w:left="189" w:leftChars="90" w:firstLine="549"/>
        <w:rPr>
          <w:rFonts w:cs="宋体" w:asciiTheme="minorEastAsia" w:hAnsiTheme="minorEastAsia"/>
          <w:sz w:val="24"/>
        </w:rPr>
      </w:pPr>
      <w:r>
        <w:rPr>
          <w:rFonts w:hint="eastAsia" w:cs="宋体" w:asciiTheme="minorEastAsia" w:hAnsiTheme="minorEastAsia"/>
          <w:sz w:val="24"/>
        </w:rPr>
        <w:t>1、预付款：签订合同后，支付合同总价的</w:t>
      </w:r>
      <w:r>
        <w:rPr>
          <w:rFonts w:hint="eastAsia" w:cs="宋体" w:asciiTheme="minorEastAsia" w:hAnsiTheme="minorEastAsia"/>
          <w:sz w:val="24"/>
          <w:u w:val="single"/>
        </w:rPr>
        <w:t xml:space="preserve"> /</w:t>
      </w:r>
      <w:r>
        <w:rPr>
          <w:rFonts w:hint="eastAsia" w:cs="宋体" w:asciiTheme="minorEastAsia" w:hAnsiTheme="minorEastAsia"/>
          <w:sz w:val="24"/>
        </w:rPr>
        <w:t xml:space="preserve"> %。</w:t>
      </w:r>
    </w:p>
    <w:p>
      <w:pPr>
        <w:widowControl/>
        <w:snapToGrid w:val="0"/>
        <w:spacing w:before="19" w:line="360" w:lineRule="auto"/>
        <w:ind w:left="189" w:leftChars="90" w:firstLine="549"/>
        <w:rPr>
          <w:rFonts w:cs="宋体" w:asciiTheme="minorEastAsia" w:hAnsiTheme="minorEastAsia"/>
          <w:sz w:val="24"/>
        </w:rPr>
      </w:pPr>
      <w:r>
        <w:rPr>
          <w:rFonts w:hint="eastAsia" w:cs="宋体" w:asciiTheme="minorEastAsia" w:hAnsiTheme="minorEastAsia"/>
          <w:sz w:val="24"/>
        </w:rPr>
        <w:t>2、货物运到采购人指定的地点，安装调试结束，经采购人验收合格，中标供应商提交所需单据后，支付合同总价的</w:t>
      </w:r>
      <w:r>
        <w:rPr>
          <w:rFonts w:hint="eastAsia" w:cs="宋体" w:asciiTheme="minorEastAsia" w:hAnsiTheme="minorEastAsia"/>
          <w:sz w:val="24"/>
          <w:u w:val="single"/>
        </w:rPr>
        <w:t xml:space="preserve">      %</w:t>
      </w:r>
      <w:r>
        <w:rPr>
          <w:rFonts w:hint="eastAsia" w:cs="宋体" w:asciiTheme="minorEastAsia" w:hAnsiTheme="minorEastAsia"/>
          <w:sz w:val="24"/>
        </w:rPr>
        <w:t>；</w:t>
      </w:r>
    </w:p>
    <w:p>
      <w:pPr>
        <w:widowControl/>
        <w:snapToGrid w:val="0"/>
        <w:spacing w:before="19" w:line="360" w:lineRule="auto"/>
        <w:ind w:firstLine="480" w:firstLineChars="200"/>
        <w:rPr>
          <w:rFonts w:hint="eastAsia" w:cs="宋体" w:asciiTheme="minorEastAsia" w:hAnsiTheme="minorEastAsia"/>
          <w:sz w:val="24"/>
        </w:rPr>
      </w:pPr>
      <w:r>
        <w:rPr>
          <w:rFonts w:hint="eastAsia" w:cs="宋体" w:asciiTheme="minorEastAsia" w:hAnsiTheme="minorEastAsia"/>
          <w:sz w:val="24"/>
        </w:rPr>
        <w:t>3、第二次付款：质保期满后无质量问题付清尾款。</w:t>
      </w:r>
    </w:p>
    <w:p>
      <w:pPr>
        <w:widowControl/>
        <w:snapToGrid w:val="0"/>
        <w:spacing w:before="19" w:line="360" w:lineRule="auto"/>
        <w:ind w:firstLine="482" w:firstLineChars="200"/>
        <w:rPr>
          <w:rFonts w:cs="宋体" w:asciiTheme="minorEastAsia" w:hAnsiTheme="minorEastAsia"/>
          <w:sz w:val="24"/>
        </w:rPr>
      </w:pPr>
      <w:r>
        <w:rPr>
          <w:rFonts w:hint="eastAsia" w:asciiTheme="minorEastAsia" w:hAnsiTheme="minorEastAsia"/>
          <w:b/>
          <w:sz w:val="24"/>
        </w:rPr>
        <w:t>六、合同纠纷处理：</w:t>
      </w:r>
      <w:r>
        <w:rPr>
          <w:rFonts w:hint="eastAsia" w:asciiTheme="minorEastAsia" w:hAnsiTheme="minorEastAsia"/>
          <w:sz w:val="24"/>
        </w:rPr>
        <w:t>本合同执行过程中发生纠纷，作如下</w:t>
      </w:r>
      <w:r>
        <w:rPr>
          <w:rFonts w:hint="eastAsia" w:asciiTheme="minorEastAsia" w:hAnsiTheme="minorEastAsia"/>
          <w:sz w:val="24"/>
          <w:u w:val="single"/>
        </w:rPr>
        <w:t>1</w:t>
      </w:r>
      <w:r>
        <w:rPr>
          <w:rFonts w:hint="eastAsia" w:asciiTheme="minorEastAsia" w:hAnsiTheme="minorEastAsia"/>
          <w:sz w:val="24"/>
        </w:rPr>
        <w:t>处理：</w:t>
      </w:r>
    </w:p>
    <w:p>
      <w:pPr>
        <w:widowControl/>
        <w:tabs>
          <w:tab w:val="left" w:pos="1980"/>
        </w:tabs>
        <w:snapToGrid w:val="0"/>
        <w:spacing w:before="19" w:line="360" w:lineRule="auto"/>
        <w:ind w:firstLine="710" w:firstLineChars="296"/>
        <w:rPr>
          <w:rFonts w:asciiTheme="minorEastAsia" w:hAnsiTheme="minorEastAsia"/>
          <w:sz w:val="24"/>
        </w:rPr>
      </w:pPr>
      <w:r>
        <w:rPr>
          <w:rFonts w:hint="eastAsia" w:asciiTheme="minorEastAsia" w:hAnsiTheme="minorEastAsia"/>
          <w:sz w:val="24"/>
        </w:rPr>
        <w:t>1、由甲乙双方协商处理。</w:t>
      </w:r>
    </w:p>
    <w:p>
      <w:pPr>
        <w:widowControl/>
        <w:tabs>
          <w:tab w:val="left" w:pos="1980"/>
        </w:tabs>
        <w:snapToGrid w:val="0"/>
        <w:spacing w:before="19" w:line="360" w:lineRule="auto"/>
        <w:ind w:firstLine="710" w:firstLineChars="296"/>
        <w:rPr>
          <w:rFonts w:asciiTheme="minorEastAsia" w:hAnsiTheme="minorEastAsia"/>
          <w:sz w:val="24"/>
        </w:rPr>
      </w:pPr>
      <w:r>
        <w:rPr>
          <w:rFonts w:hint="eastAsia" w:asciiTheme="minorEastAsia" w:hAnsiTheme="minorEastAsia"/>
          <w:sz w:val="24"/>
        </w:rPr>
        <w:t>2、申请仲裁。仲裁机构为南京市仲裁委员会。</w:t>
      </w:r>
    </w:p>
    <w:p>
      <w:pPr>
        <w:widowControl/>
        <w:tabs>
          <w:tab w:val="left" w:pos="1980"/>
        </w:tabs>
        <w:snapToGrid w:val="0"/>
        <w:spacing w:before="19" w:line="360" w:lineRule="auto"/>
        <w:ind w:firstLine="710" w:firstLineChars="296"/>
        <w:rPr>
          <w:rFonts w:asciiTheme="minorEastAsia" w:hAnsiTheme="minorEastAsia"/>
          <w:sz w:val="24"/>
        </w:rPr>
      </w:pPr>
      <w:r>
        <w:rPr>
          <w:rFonts w:hint="eastAsia" w:asciiTheme="minorEastAsia" w:hAnsiTheme="minorEastAsia"/>
          <w:sz w:val="24"/>
        </w:rPr>
        <w:t>3、提起诉讼。诉讼地点为采购人所在地。</w:t>
      </w:r>
    </w:p>
    <w:p>
      <w:pPr>
        <w:widowControl/>
        <w:snapToGrid w:val="0"/>
        <w:spacing w:before="19" w:line="360" w:lineRule="auto"/>
        <w:ind w:firstLine="482" w:firstLineChars="200"/>
        <w:rPr>
          <w:rFonts w:asciiTheme="minorEastAsia" w:hAnsiTheme="minorEastAsia"/>
          <w:sz w:val="24"/>
        </w:rPr>
      </w:pPr>
      <w:r>
        <w:rPr>
          <w:rFonts w:hint="eastAsia" w:asciiTheme="minorEastAsia" w:hAnsiTheme="minorEastAsia"/>
          <w:b/>
          <w:sz w:val="24"/>
        </w:rPr>
        <w:t>七、合同生效：</w:t>
      </w:r>
      <w:r>
        <w:rPr>
          <w:rFonts w:hint="eastAsia" w:asciiTheme="minorEastAsia" w:hAnsiTheme="minorEastAsia"/>
          <w:sz w:val="24"/>
        </w:rPr>
        <w:t>本合同由甲乙双方签字盖章后生效。</w:t>
      </w:r>
    </w:p>
    <w:p>
      <w:pPr>
        <w:widowControl/>
        <w:snapToGrid w:val="0"/>
        <w:spacing w:before="19" w:line="360" w:lineRule="auto"/>
        <w:ind w:firstLine="602" w:firstLineChars="250"/>
        <w:rPr>
          <w:rFonts w:asciiTheme="minorEastAsia" w:hAnsiTheme="minorEastAsia"/>
          <w:b/>
          <w:sz w:val="24"/>
        </w:rPr>
      </w:pPr>
      <w:r>
        <w:rPr>
          <w:rFonts w:hint="eastAsia" w:asciiTheme="minorEastAsia" w:hAnsiTheme="minorEastAsia"/>
          <w:b/>
          <w:sz w:val="24"/>
        </w:rPr>
        <w:t>八、合同鉴证</w:t>
      </w:r>
      <w:r>
        <w:rPr>
          <w:rFonts w:hint="eastAsia" w:asciiTheme="minorEastAsia" w:hAnsiTheme="minorEastAsia"/>
          <w:b/>
          <w:bCs/>
          <w:sz w:val="24"/>
        </w:rPr>
        <w:t>：</w:t>
      </w:r>
      <w:r>
        <w:rPr>
          <w:rFonts w:hint="eastAsia" w:asciiTheme="minorEastAsia" w:hAnsiTheme="minorEastAsia"/>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Theme="minorEastAsia" w:hAnsiTheme="minorEastAsia"/>
          <w:b/>
          <w:sz w:val="24"/>
        </w:rPr>
      </w:pPr>
      <w:r>
        <w:rPr>
          <w:rFonts w:hint="eastAsia" w:asciiTheme="minorEastAsia" w:hAnsiTheme="minorEastAsia"/>
          <w:b/>
          <w:sz w:val="24"/>
        </w:rPr>
        <w:t>九、组成本合同的文件包括：</w:t>
      </w:r>
    </w:p>
    <w:p>
      <w:pPr>
        <w:widowControl/>
        <w:snapToGrid w:val="0"/>
        <w:spacing w:before="19" w:line="360" w:lineRule="auto"/>
        <w:ind w:left="555"/>
        <w:rPr>
          <w:rFonts w:asciiTheme="minorEastAsia" w:hAnsiTheme="minorEastAsia"/>
          <w:bCs/>
          <w:sz w:val="24"/>
        </w:rPr>
      </w:pPr>
      <w:r>
        <w:rPr>
          <w:rFonts w:hint="eastAsia" w:asciiTheme="minorEastAsia" w:hAnsiTheme="minorEastAsia"/>
          <w:bCs/>
          <w:sz w:val="24"/>
        </w:rPr>
        <w:t>（一）合同通用条款和专用条款；</w:t>
      </w:r>
    </w:p>
    <w:p>
      <w:pPr>
        <w:widowControl/>
        <w:snapToGrid w:val="0"/>
        <w:spacing w:before="19" w:line="360" w:lineRule="auto"/>
        <w:ind w:left="555"/>
        <w:rPr>
          <w:rFonts w:asciiTheme="minorEastAsia" w:hAnsiTheme="minorEastAsia"/>
          <w:bCs/>
          <w:sz w:val="24"/>
        </w:rPr>
      </w:pPr>
      <w:r>
        <w:rPr>
          <w:rFonts w:hint="eastAsia" w:asciiTheme="minorEastAsia" w:hAnsiTheme="minorEastAsia"/>
          <w:bCs/>
          <w:sz w:val="24"/>
        </w:rPr>
        <w:t>（二）询价采购文件和乙方的</w:t>
      </w:r>
      <w:r>
        <w:rPr>
          <w:rFonts w:hint="eastAsia" w:cs="宋体" w:asciiTheme="minorEastAsia" w:hAnsiTheme="minorEastAsia"/>
          <w:bCs/>
          <w:sz w:val="24"/>
        </w:rPr>
        <w:t>投标</w:t>
      </w:r>
      <w:r>
        <w:rPr>
          <w:rFonts w:hint="eastAsia" w:asciiTheme="minorEastAsia" w:hAnsiTheme="minorEastAsia"/>
          <w:bCs/>
          <w:sz w:val="24"/>
        </w:rPr>
        <w:t>文件；</w:t>
      </w:r>
    </w:p>
    <w:p>
      <w:pPr>
        <w:widowControl/>
        <w:snapToGrid w:val="0"/>
        <w:spacing w:before="19" w:line="360" w:lineRule="auto"/>
        <w:ind w:left="555"/>
        <w:rPr>
          <w:rFonts w:asciiTheme="minorEastAsia" w:hAnsiTheme="minorEastAsia"/>
          <w:bCs/>
          <w:sz w:val="24"/>
        </w:rPr>
      </w:pPr>
      <w:r>
        <w:rPr>
          <w:rFonts w:hint="eastAsia" w:asciiTheme="minorEastAsia" w:hAnsiTheme="minorEastAsia"/>
          <w:bCs/>
          <w:sz w:val="24"/>
        </w:rPr>
        <w:t>（三）甲乙双方商定的其他必要文件。</w:t>
      </w:r>
    </w:p>
    <w:p>
      <w:pPr>
        <w:widowControl/>
        <w:snapToGrid w:val="0"/>
        <w:spacing w:before="19" w:line="360" w:lineRule="auto"/>
        <w:rPr>
          <w:rFonts w:asciiTheme="minorEastAsia" w:hAnsiTheme="minorEastAsia"/>
          <w:bCs/>
          <w:sz w:val="24"/>
        </w:rPr>
      </w:pPr>
      <w:r>
        <w:rPr>
          <w:rFonts w:hint="eastAsia" w:asciiTheme="minorEastAsia" w:hAnsiTheme="minorEastAsia"/>
          <w:bCs/>
          <w:sz w:val="24"/>
        </w:rPr>
        <w:t>上述合同文件内容互为补充，如有不明确，由甲方负责解释。</w:t>
      </w:r>
    </w:p>
    <w:p>
      <w:pPr>
        <w:widowControl/>
        <w:snapToGrid w:val="0"/>
        <w:spacing w:before="19" w:line="360" w:lineRule="auto"/>
        <w:ind w:firstLine="555"/>
        <w:rPr>
          <w:rFonts w:asciiTheme="minorEastAsia" w:hAnsiTheme="minorEastAsia"/>
          <w:b/>
          <w:bCs/>
          <w:sz w:val="24"/>
        </w:rPr>
      </w:pPr>
      <w:r>
        <w:rPr>
          <w:rFonts w:hint="eastAsia" w:asciiTheme="minorEastAsia" w:hAnsiTheme="minorEastAsia"/>
          <w:b/>
          <w:bCs/>
          <w:sz w:val="24"/>
        </w:rPr>
        <w:t>十、合同备案</w:t>
      </w:r>
    </w:p>
    <w:p>
      <w:pPr>
        <w:widowControl/>
        <w:snapToGrid w:val="0"/>
        <w:spacing w:before="19" w:line="360" w:lineRule="auto"/>
        <w:ind w:firstLine="480" w:firstLineChars="200"/>
        <w:rPr>
          <w:rFonts w:asciiTheme="minorEastAsia" w:hAnsiTheme="minorEastAsia"/>
          <w:bCs/>
          <w:sz w:val="24"/>
        </w:rPr>
      </w:pPr>
      <w:r>
        <w:rPr>
          <w:rFonts w:hint="eastAsia" w:asciiTheme="minorEastAsia" w:hAnsiTheme="minorEastAsia"/>
          <w:bCs/>
          <w:sz w:val="24"/>
        </w:rPr>
        <w:t>本合同一式叁份，中文书写。甲乙双方及甲方使用部门各执一份。</w:t>
      </w:r>
    </w:p>
    <w:p>
      <w:pPr>
        <w:widowControl/>
        <w:snapToGrid w:val="0"/>
        <w:spacing w:before="19" w:line="360" w:lineRule="auto"/>
        <w:ind w:firstLine="480" w:firstLineChars="200"/>
        <w:rPr>
          <w:rFonts w:asciiTheme="minorEastAsia" w:hAnsiTheme="minorEastAsia"/>
          <w:bCs/>
          <w:sz w:val="24"/>
        </w:rPr>
      </w:pPr>
    </w:p>
    <w:p>
      <w:pPr>
        <w:widowControl/>
        <w:snapToGrid w:val="0"/>
        <w:spacing w:before="19" w:line="360" w:lineRule="auto"/>
        <w:ind w:firstLine="480" w:firstLineChars="200"/>
        <w:rPr>
          <w:rFonts w:asciiTheme="minorEastAsia" w:hAnsiTheme="minorEastAsia"/>
          <w:bCs/>
          <w:sz w:val="24"/>
        </w:rPr>
      </w:pPr>
    </w:p>
    <w:p>
      <w:pPr>
        <w:widowControl/>
        <w:snapToGrid w:val="0"/>
        <w:spacing w:before="19" w:line="360" w:lineRule="auto"/>
        <w:rPr>
          <w:rFonts w:asciiTheme="minorEastAsia" w:hAnsiTheme="minorEastAsia"/>
          <w:b/>
          <w:sz w:val="24"/>
          <w:u w:val="single"/>
        </w:rPr>
      </w:pPr>
      <w:r>
        <w:rPr>
          <w:rFonts w:hint="eastAsia" w:asciiTheme="minorEastAsia" w:hAnsiTheme="minorEastAsia"/>
          <w:b/>
          <w:sz w:val="24"/>
        </w:rPr>
        <w:t xml:space="preserve">甲方： </w:t>
      </w:r>
      <w:bookmarkStart w:id="15" w:name="purchase_name_one"/>
      <w:bookmarkEnd w:id="15"/>
      <w:bookmarkStart w:id="16" w:name="purchase_one_start"/>
      <w:bookmarkEnd w:id="16"/>
      <w:r>
        <w:rPr>
          <w:rFonts w:hint="eastAsia" w:asciiTheme="minorEastAsia" w:hAnsiTheme="minorEastAsia"/>
          <w:b/>
          <w:sz w:val="24"/>
        </w:rPr>
        <w:t xml:space="preserve"> 江苏</w:t>
      </w:r>
      <w:r>
        <w:rPr>
          <w:rFonts w:hint="eastAsia" w:asciiTheme="minorEastAsia" w:hAnsiTheme="minorEastAsia"/>
          <w:b/>
          <w:sz w:val="24"/>
          <w:lang w:val="en-US" w:eastAsia="zh-CN"/>
        </w:rPr>
        <w:t>开放大学</w:t>
      </w:r>
      <w:r>
        <w:rPr>
          <w:rFonts w:hint="eastAsia" w:asciiTheme="minorEastAsia" w:hAnsiTheme="minorEastAsia"/>
          <w:b/>
          <w:sz w:val="24"/>
        </w:rPr>
        <w:t xml:space="preserve"> </w:t>
      </w:r>
      <w:bookmarkStart w:id="17" w:name="purchase_one_end"/>
      <w:bookmarkEnd w:id="17"/>
      <w:r>
        <w:rPr>
          <w:rFonts w:hint="eastAsia" w:asciiTheme="minorEastAsia" w:hAnsiTheme="minorEastAsia"/>
          <w:b/>
          <w:sz w:val="24"/>
        </w:rPr>
        <w:t>（盖章）</w:t>
      </w:r>
    </w:p>
    <w:p>
      <w:pPr>
        <w:widowControl/>
        <w:snapToGrid w:val="0"/>
        <w:spacing w:before="19" w:line="360" w:lineRule="auto"/>
        <w:rPr>
          <w:rFonts w:asciiTheme="minorEastAsia" w:hAnsiTheme="minorEastAsia"/>
          <w:sz w:val="24"/>
          <w:u w:val="single"/>
        </w:rPr>
      </w:pPr>
      <w:r>
        <w:rPr>
          <w:rFonts w:hint="eastAsia" w:asciiTheme="minorEastAsia" w:hAnsiTheme="minorEastAsia"/>
          <w:sz w:val="24"/>
        </w:rPr>
        <w:t>地址：</w:t>
      </w:r>
      <w:r>
        <w:rPr>
          <w:rFonts w:hint="eastAsia" w:asciiTheme="minorEastAsia" w:hAnsiTheme="minorEastAsia"/>
          <w:sz w:val="24"/>
          <w:u w:val="single"/>
        </w:rPr>
        <w:t xml:space="preserve"> 江东北路399号      </w:t>
      </w:r>
      <w:r>
        <w:rPr>
          <w:rFonts w:hint="eastAsia" w:asciiTheme="minorEastAsia" w:hAnsiTheme="minorEastAsia"/>
          <w:sz w:val="24"/>
        </w:rPr>
        <w:t>法定（授权）代表人：</w:t>
      </w:r>
    </w:p>
    <w:p>
      <w:pPr>
        <w:widowControl/>
        <w:snapToGrid w:val="0"/>
        <w:spacing w:before="19" w:line="360" w:lineRule="auto"/>
        <w:ind w:firstLine="3360" w:firstLineChars="1400"/>
        <w:rPr>
          <w:rFonts w:asciiTheme="minorEastAsia" w:hAnsiTheme="minorEastAsia"/>
          <w:sz w:val="24"/>
        </w:rPr>
      </w:pPr>
      <w:r>
        <w:rPr>
          <w:rFonts w:hint="eastAsia" w:asciiTheme="minorEastAsia" w:hAnsiTheme="minorEastAsia"/>
          <w:sz w:val="24"/>
        </w:rPr>
        <w:t>二</w:t>
      </w:r>
      <w:r>
        <w:rPr>
          <w:rFonts w:hint="eastAsia" w:cs="宋体" w:asciiTheme="minorEastAsia" w:hAnsiTheme="minorEastAsia"/>
          <w:sz w:val="24"/>
        </w:rPr>
        <w:t>〇一</w:t>
      </w:r>
      <w:r>
        <w:rPr>
          <w:rFonts w:hint="eastAsia" w:cs="仿宋_GB2312" w:asciiTheme="minorEastAsia" w:hAnsiTheme="minorEastAsia"/>
          <w:sz w:val="24"/>
        </w:rPr>
        <w:t>年</w:t>
      </w:r>
      <w:r>
        <w:rPr>
          <w:rFonts w:hint="eastAsia" w:asciiTheme="minorEastAsia" w:hAnsiTheme="minorEastAsia"/>
          <w:sz w:val="24"/>
        </w:rPr>
        <w:t xml:space="preserve">月日 </w:t>
      </w:r>
    </w:p>
    <w:p>
      <w:pPr>
        <w:widowControl/>
        <w:snapToGrid w:val="0"/>
        <w:spacing w:before="19" w:line="360" w:lineRule="auto"/>
        <w:rPr>
          <w:rFonts w:asciiTheme="minorEastAsia" w:hAnsiTheme="minorEastAsia"/>
          <w:sz w:val="24"/>
        </w:rPr>
      </w:pPr>
      <w:r>
        <w:rPr>
          <w:rFonts w:hint="eastAsia" w:asciiTheme="minorEastAsia" w:hAnsiTheme="minorEastAsia"/>
          <w:b/>
          <w:sz w:val="24"/>
        </w:rPr>
        <w:t>乙方：</w:t>
      </w:r>
      <w:bookmarkStart w:id="18" w:name="suppliers_name_one"/>
      <w:bookmarkEnd w:id="18"/>
      <w:r>
        <w:rPr>
          <w:rFonts w:hint="eastAsia" w:asciiTheme="minorEastAsia" w:hAnsiTheme="minorEastAsia"/>
          <w:b/>
          <w:sz w:val="24"/>
        </w:rPr>
        <w:t>（盖章）</w:t>
      </w:r>
    </w:p>
    <w:p>
      <w:pPr>
        <w:widowControl/>
        <w:snapToGrid w:val="0"/>
        <w:spacing w:before="19" w:line="360" w:lineRule="auto"/>
        <w:rPr>
          <w:rFonts w:asciiTheme="minorEastAsia" w:hAnsiTheme="minorEastAsia"/>
          <w:sz w:val="24"/>
        </w:rPr>
      </w:pPr>
      <w:r>
        <w:rPr>
          <w:rFonts w:hint="eastAsia" w:asciiTheme="minorEastAsia" w:hAnsiTheme="minorEastAsia"/>
          <w:sz w:val="24"/>
        </w:rPr>
        <w:t>地址：法定（授权）代表人：</w:t>
      </w:r>
    </w:p>
    <w:p>
      <w:pPr>
        <w:widowControl/>
        <w:snapToGrid w:val="0"/>
        <w:spacing w:before="19" w:line="360" w:lineRule="auto"/>
        <w:ind w:firstLine="3360" w:firstLineChars="1400"/>
        <w:rPr>
          <w:rFonts w:asciiTheme="minorEastAsia" w:hAnsiTheme="minorEastAsia"/>
          <w:sz w:val="24"/>
        </w:rPr>
      </w:pPr>
      <w:r>
        <w:rPr>
          <w:rFonts w:hint="eastAsia" w:asciiTheme="minorEastAsia" w:hAnsiTheme="minorEastAsia"/>
          <w:sz w:val="24"/>
        </w:rPr>
        <w:t>二</w:t>
      </w:r>
      <w:r>
        <w:rPr>
          <w:rFonts w:hint="eastAsia" w:cs="宋体" w:asciiTheme="minorEastAsia" w:hAnsiTheme="minorEastAsia"/>
          <w:sz w:val="24"/>
        </w:rPr>
        <w:t>〇一</w:t>
      </w:r>
      <w:r>
        <w:rPr>
          <w:rFonts w:hint="eastAsia" w:cs="仿宋_GB2312" w:asciiTheme="minorEastAsia" w:hAnsiTheme="minorEastAsia"/>
          <w:sz w:val="24"/>
        </w:rPr>
        <w:t>年</w:t>
      </w:r>
      <w:r>
        <w:rPr>
          <w:rFonts w:hint="eastAsia" w:asciiTheme="minorEastAsia" w:hAnsiTheme="minorEastAsia"/>
          <w:sz w:val="24"/>
        </w:rPr>
        <w:t>月日</w:t>
      </w:r>
    </w:p>
    <w:p>
      <w:pPr>
        <w:widowControl/>
        <w:snapToGrid w:val="0"/>
        <w:spacing w:before="19" w:line="360" w:lineRule="auto"/>
        <w:rPr>
          <w:rFonts w:asciiTheme="minorEastAsia" w:hAnsiTheme="minorEastAsia"/>
          <w:sz w:val="24"/>
          <w:u w:val="single"/>
        </w:rPr>
      </w:pPr>
      <w:r>
        <w:rPr>
          <w:rFonts w:hint="eastAsia" w:asciiTheme="minorEastAsia" w:hAnsiTheme="minorEastAsia"/>
          <w:sz w:val="24"/>
        </w:rPr>
        <w:t>户名：开户银行：</w:t>
      </w:r>
    </w:p>
    <w:p>
      <w:pPr>
        <w:widowControl/>
        <w:snapToGrid w:val="0"/>
        <w:spacing w:before="19" w:line="360" w:lineRule="auto"/>
        <w:rPr>
          <w:rFonts w:asciiTheme="minorEastAsia" w:hAnsiTheme="minorEastAsia"/>
          <w:sz w:val="24"/>
          <w:u w:val="single"/>
        </w:rPr>
      </w:pPr>
      <w:r>
        <w:rPr>
          <w:rFonts w:hint="eastAsia" w:asciiTheme="minorEastAsia" w:hAnsiTheme="minorEastAsia"/>
          <w:sz w:val="24"/>
        </w:rPr>
        <w:t>账号：</w:t>
      </w:r>
    </w:p>
    <w:p>
      <w:pPr>
        <w:widowControl/>
        <w:snapToGrid w:val="0"/>
        <w:spacing w:before="19" w:line="360" w:lineRule="auto"/>
        <w:ind w:firstLine="2940" w:firstLineChars="1400"/>
      </w:pP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宋体糮.擮..">
    <w:altName w:val="宋体"/>
    <w:panose1 w:val="00000000000000000000"/>
    <w:charset w:val="00"/>
    <w:family w:val="auto"/>
    <w:pitch w:val="default"/>
    <w:sig w:usb0="00000000" w:usb1="00000000" w:usb2="00000000" w:usb3="00000000" w:csb0="00000000" w:csb1="00000000"/>
  </w:font>
  <w:font w:name="宋体.">
    <w:altName w:val="宋体"/>
    <w:panose1 w:val="00000000000000000000"/>
    <w:charset w:val="00"/>
    <w:family w:val="auto"/>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22</w:t>
    </w:r>
    <w:r>
      <w:rPr>
        <w:b/>
        <w:bCs/>
        <w:sz w:val="24"/>
        <w:szCs w:val="24"/>
      </w:rPr>
      <w:fldChar w:fldCharType="end"/>
    </w:r>
  </w:p>
  <w:p>
    <w:pPr>
      <w:pStyle w:val="8"/>
    </w:pP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F09BC"/>
    <w:multiLevelType w:val="multilevel"/>
    <w:tmpl w:val="24AF09BC"/>
    <w:lvl w:ilvl="0" w:tentative="0">
      <w:start w:val="1"/>
      <w:numFmt w:val="bullet"/>
      <w:lvlText w:val=""/>
      <w:lvlJc w:val="left"/>
      <w:pPr>
        <w:ind w:left="136" w:hanging="420"/>
      </w:pPr>
      <w:rPr>
        <w:rFonts w:hint="default" w:ascii="Wingdings" w:hAnsi="Wingdings"/>
      </w:rPr>
    </w:lvl>
    <w:lvl w:ilvl="1" w:tentative="0">
      <w:start w:val="1"/>
      <w:numFmt w:val="bullet"/>
      <w:lvlText w:val=""/>
      <w:lvlJc w:val="left"/>
      <w:pPr>
        <w:ind w:left="556" w:hanging="420"/>
      </w:pPr>
      <w:rPr>
        <w:rFonts w:hint="default" w:ascii="Wingdings" w:hAnsi="Wingdings"/>
      </w:rPr>
    </w:lvl>
    <w:lvl w:ilvl="2" w:tentative="0">
      <w:start w:val="1"/>
      <w:numFmt w:val="bullet"/>
      <w:lvlText w:val=""/>
      <w:lvlJc w:val="left"/>
      <w:pPr>
        <w:ind w:left="976" w:hanging="420"/>
      </w:pPr>
      <w:rPr>
        <w:rFonts w:hint="default" w:ascii="Wingdings" w:hAnsi="Wingdings"/>
      </w:rPr>
    </w:lvl>
    <w:lvl w:ilvl="3" w:tentative="0">
      <w:start w:val="1"/>
      <w:numFmt w:val="bullet"/>
      <w:lvlText w:val=""/>
      <w:lvlJc w:val="left"/>
      <w:pPr>
        <w:ind w:left="1396" w:hanging="420"/>
      </w:pPr>
      <w:rPr>
        <w:rFonts w:hint="default" w:ascii="Wingdings" w:hAnsi="Wingdings"/>
      </w:rPr>
    </w:lvl>
    <w:lvl w:ilvl="4" w:tentative="0">
      <w:start w:val="1"/>
      <w:numFmt w:val="bullet"/>
      <w:lvlText w:val=""/>
      <w:lvlJc w:val="left"/>
      <w:pPr>
        <w:ind w:left="1816" w:hanging="420"/>
      </w:pPr>
      <w:rPr>
        <w:rFonts w:hint="default" w:ascii="Wingdings" w:hAnsi="Wingdings"/>
      </w:rPr>
    </w:lvl>
    <w:lvl w:ilvl="5" w:tentative="0">
      <w:start w:val="1"/>
      <w:numFmt w:val="bullet"/>
      <w:lvlText w:val=""/>
      <w:lvlJc w:val="left"/>
      <w:pPr>
        <w:ind w:left="2236" w:hanging="420"/>
      </w:pPr>
      <w:rPr>
        <w:rFonts w:hint="default" w:ascii="Wingdings" w:hAnsi="Wingdings"/>
      </w:rPr>
    </w:lvl>
    <w:lvl w:ilvl="6" w:tentative="0">
      <w:start w:val="1"/>
      <w:numFmt w:val="bullet"/>
      <w:lvlText w:val=""/>
      <w:lvlJc w:val="left"/>
      <w:pPr>
        <w:ind w:left="2656" w:hanging="420"/>
      </w:pPr>
      <w:rPr>
        <w:rFonts w:hint="default" w:ascii="Wingdings" w:hAnsi="Wingdings"/>
      </w:rPr>
    </w:lvl>
    <w:lvl w:ilvl="7" w:tentative="0">
      <w:start w:val="1"/>
      <w:numFmt w:val="bullet"/>
      <w:lvlText w:val=""/>
      <w:lvlJc w:val="left"/>
      <w:pPr>
        <w:ind w:left="3076" w:hanging="420"/>
      </w:pPr>
      <w:rPr>
        <w:rFonts w:hint="default" w:ascii="Wingdings" w:hAnsi="Wingdings"/>
      </w:rPr>
    </w:lvl>
    <w:lvl w:ilvl="8" w:tentative="0">
      <w:start w:val="1"/>
      <w:numFmt w:val="bullet"/>
      <w:lvlText w:val=""/>
      <w:lvlJc w:val="left"/>
      <w:pPr>
        <w:ind w:left="3496" w:hanging="420"/>
      </w:pPr>
      <w:rPr>
        <w:rFonts w:hint="default" w:ascii="Wingdings" w:hAnsi="Wingdings"/>
      </w:rPr>
    </w:lvl>
  </w:abstractNum>
  <w:abstractNum w:abstractNumId="1">
    <w:nsid w:val="59AEA9D0"/>
    <w:multiLevelType w:val="singleLevel"/>
    <w:tmpl w:val="59AEA9D0"/>
    <w:lvl w:ilvl="0" w:tentative="0">
      <w:start w:val="4"/>
      <w:numFmt w:val="chineseCounting"/>
      <w:suff w:val="nothing"/>
      <w:lvlText w:val="%1、"/>
      <w:lvlJc w:val="left"/>
    </w:lvl>
  </w:abstractNum>
  <w:abstractNum w:abstractNumId="2">
    <w:nsid w:val="59AF9D76"/>
    <w:multiLevelType w:val="singleLevel"/>
    <w:tmpl w:val="59AF9D76"/>
    <w:lvl w:ilvl="0" w:tentative="0">
      <w:start w:val="1"/>
      <w:numFmt w:val="bullet"/>
      <w:lvlText w:val=""/>
      <w:lvlJc w:val="left"/>
      <w:pPr>
        <w:ind w:left="420" w:hanging="420"/>
      </w:pPr>
      <w:rPr>
        <w:rFonts w:hint="default" w:ascii="Wingdings" w:hAnsi="Wingdings"/>
      </w:rPr>
    </w:lvl>
  </w:abstractNum>
  <w:abstractNum w:abstractNumId="3">
    <w:nsid w:val="59AFB830"/>
    <w:multiLevelType w:val="singleLevel"/>
    <w:tmpl w:val="59AFB830"/>
    <w:lvl w:ilvl="0" w:tentative="0">
      <w:start w:val="1"/>
      <w:numFmt w:val="bullet"/>
      <w:lvlText w:val=""/>
      <w:lvlJc w:val="left"/>
      <w:pPr>
        <w:ind w:left="420" w:hanging="420"/>
      </w:pPr>
      <w:rPr>
        <w:rFonts w:hint="default" w:ascii="Wingdings" w:hAnsi="Wingdings"/>
      </w:rPr>
    </w:lvl>
  </w:abstractNum>
  <w:abstractNum w:abstractNumId="4">
    <w:nsid w:val="59AFB8D4"/>
    <w:multiLevelType w:val="singleLevel"/>
    <w:tmpl w:val="59AFB8D4"/>
    <w:lvl w:ilvl="0" w:tentative="0">
      <w:start w:val="1"/>
      <w:numFmt w:val="bullet"/>
      <w:lvlText w:val=""/>
      <w:lvlJc w:val="left"/>
      <w:pPr>
        <w:ind w:left="420" w:hanging="420"/>
      </w:pPr>
      <w:rPr>
        <w:rFonts w:hint="default" w:ascii="Wingdings" w:hAnsi="Wingdings"/>
      </w:rPr>
    </w:lvl>
  </w:abstractNum>
  <w:abstractNum w:abstractNumId="5">
    <w:nsid w:val="59AFBC2D"/>
    <w:multiLevelType w:val="singleLevel"/>
    <w:tmpl w:val="59AFBC2D"/>
    <w:lvl w:ilvl="0" w:tentative="0">
      <w:start w:val="1"/>
      <w:numFmt w:val="bullet"/>
      <w:lvlText w:val=""/>
      <w:lvlJc w:val="left"/>
      <w:pPr>
        <w:ind w:left="420" w:hanging="420"/>
      </w:pPr>
      <w:rPr>
        <w:rFonts w:hint="default" w:ascii="Wingdings" w:hAnsi="Wingdings"/>
      </w:rPr>
    </w:lvl>
  </w:abstractNum>
  <w:abstractNum w:abstractNumId="6">
    <w:nsid w:val="59B20B71"/>
    <w:multiLevelType w:val="singleLevel"/>
    <w:tmpl w:val="59B20B71"/>
    <w:lvl w:ilvl="0" w:tentative="0">
      <w:start w:val="12"/>
      <w:numFmt w:val="chineseCounting"/>
      <w:suff w:val="nothing"/>
      <w:lvlText w:val="%1、"/>
      <w:lvlJc w:val="left"/>
    </w:lvl>
  </w:abstractNum>
  <w:abstractNum w:abstractNumId="7">
    <w:nsid w:val="59B20C61"/>
    <w:multiLevelType w:val="singleLevel"/>
    <w:tmpl w:val="59B20C61"/>
    <w:lvl w:ilvl="0" w:tentative="0">
      <w:start w:val="2"/>
      <w:numFmt w:val="decimal"/>
      <w:suff w:val="space"/>
      <w:lvlText w:val="%1."/>
      <w:lvlJc w:val="left"/>
    </w:lvl>
  </w:abstractNum>
  <w:abstractNum w:abstractNumId="8">
    <w:nsid w:val="59B20CFE"/>
    <w:multiLevelType w:val="singleLevel"/>
    <w:tmpl w:val="59B20CFE"/>
    <w:lvl w:ilvl="0" w:tentative="0">
      <w:start w:val="13"/>
      <w:numFmt w:val="chineseCounting"/>
      <w:suff w:val="nothing"/>
      <w:lvlText w:val="%1、"/>
      <w:lvlJc w:val="left"/>
    </w:lvl>
  </w:abstractNum>
  <w:abstractNum w:abstractNumId="9">
    <w:nsid w:val="628B4C6F"/>
    <w:multiLevelType w:val="multilevel"/>
    <w:tmpl w:val="628B4C6F"/>
    <w:lvl w:ilvl="0" w:tentative="0">
      <w:start w:val="1"/>
      <w:numFmt w:val="bullet"/>
      <w:lvlText w:val=""/>
      <w:lvlJc w:val="left"/>
      <w:pPr>
        <w:ind w:left="562" w:hanging="420"/>
      </w:pPr>
      <w:rPr>
        <w:rFonts w:hint="default" w:ascii="Wingdings" w:hAnsi="Wingdings"/>
      </w:rPr>
    </w:lvl>
    <w:lvl w:ilvl="1" w:tentative="0">
      <w:start w:val="1"/>
      <w:numFmt w:val="bullet"/>
      <w:lvlText w:val=""/>
      <w:lvlJc w:val="left"/>
      <w:pPr>
        <w:ind w:left="1690" w:hanging="420"/>
      </w:pPr>
      <w:rPr>
        <w:rFonts w:hint="default" w:ascii="Wingdings" w:hAnsi="Wingdings"/>
      </w:rPr>
    </w:lvl>
    <w:lvl w:ilvl="2" w:tentative="0">
      <w:start w:val="1"/>
      <w:numFmt w:val="bullet"/>
      <w:lvlText w:val=""/>
      <w:lvlJc w:val="left"/>
      <w:pPr>
        <w:ind w:left="2110" w:hanging="420"/>
      </w:pPr>
      <w:rPr>
        <w:rFonts w:hint="default" w:ascii="Wingdings" w:hAnsi="Wingdings"/>
      </w:rPr>
    </w:lvl>
    <w:lvl w:ilvl="3" w:tentative="0">
      <w:start w:val="1"/>
      <w:numFmt w:val="bullet"/>
      <w:lvlText w:val=""/>
      <w:lvlJc w:val="left"/>
      <w:pPr>
        <w:ind w:left="2530" w:hanging="420"/>
      </w:pPr>
      <w:rPr>
        <w:rFonts w:hint="default" w:ascii="Wingdings" w:hAnsi="Wingdings"/>
      </w:rPr>
    </w:lvl>
    <w:lvl w:ilvl="4" w:tentative="0">
      <w:start w:val="1"/>
      <w:numFmt w:val="bullet"/>
      <w:lvlText w:val=""/>
      <w:lvlJc w:val="left"/>
      <w:pPr>
        <w:ind w:left="2950" w:hanging="420"/>
      </w:pPr>
      <w:rPr>
        <w:rFonts w:hint="default" w:ascii="Wingdings" w:hAnsi="Wingdings"/>
      </w:rPr>
    </w:lvl>
    <w:lvl w:ilvl="5" w:tentative="0">
      <w:start w:val="1"/>
      <w:numFmt w:val="bullet"/>
      <w:lvlText w:val=""/>
      <w:lvlJc w:val="left"/>
      <w:pPr>
        <w:ind w:left="3370" w:hanging="420"/>
      </w:pPr>
      <w:rPr>
        <w:rFonts w:hint="default" w:ascii="Wingdings" w:hAnsi="Wingdings"/>
      </w:rPr>
    </w:lvl>
    <w:lvl w:ilvl="6" w:tentative="0">
      <w:start w:val="1"/>
      <w:numFmt w:val="bullet"/>
      <w:lvlText w:val=""/>
      <w:lvlJc w:val="left"/>
      <w:pPr>
        <w:ind w:left="3790" w:hanging="420"/>
      </w:pPr>
      <w:rPr>
        <w:rFonts w:hint="default" w:ascii="Wingdings" w:hAnsi="Wingdings"/>
      </w:rPr>
    </w:lvl>
    <w:lvl w:ilvl="7" w:tentative="0">
      <w:start w:val="1"/>
      <w:numFmt w:val="bullet"/>
      <w:lvlText w:val=""/>
      <w:lvlJc w:val="left"/>
      <w:pPr>
        <w:ind w:left="4210" w:hanging="420"/>
      </w:pPr>
      <w:rPr>
        <w:rFonts w:hint="default" w:ascii="Wingdings" w:hAnsi="Wingdings"/>
      </w:rPr>
    </w:lvl>
    <w:lvl w:ilvl="8" w:tentative="0">
      <w:start w:val="1"/>
      <w:numFmt w:val="bullet"/>
      <w:lvlText w:val=""/>
      <w:lvlJc w:val="left"/>
      <w:pPr>
        <w:ind w:left="4630" w:hanging="420"/>
      </w:pPr>
      <w:rPr>
        <w:rFonts w:hint="default" w:ascii="Wingdings" w:hAnsi="Wingdings"/>
      </w:rPr>
    </w:lvl>
  </w:abstractNum>
  <w:abstractNum w:abstractNumId="10">
    <w:nsid w:val="7FDC7CA0"/>
    <w:multiLevelType w:val="multilevel"/>
    <w:tmpl w:val="7FDC7CA0"/>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10"/>
  </w:num>
  <w:num w:numId="3">
    <w:abstractNumId w:val="0"/>
  </w:num>
  <w:num w:numId="4">
    <w:abstractNumId w:val="9"/>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29A"/>
    <w:rsid w:val="0003170C"/>
    <w:rsid w:val="0003232C"/>
    <w:rsid w:val="0005519A"/>
    <w:rsid w:val="00060178"/>
    <w:rsid w:val="00085F08"/>
    <w:rsid w:val="000A22D3"/>
    <w:rsid w:val="000B1A12"/>
    <w:rsid w:val="00126F3C"/>
    <w:rsid w:val="00135D22"/>
    <w:rsid w:val="00137A1D"/>
    <w:rsid w:val="00170234"/>
    <w:rsid w:val="00173EFF"/>
    <w:rsid w:val="001A389B"/>
    <w:rsid w:val="001C6EAB"/>
    <w:rsid w:val="001D5E30"/>
    <w:rsid w:val="001E6216"/>
    <w:rsid w:val="001E6A43"/>
    <w:rsid w:val="002365D4"/>
    <w:rsid w:val="002411E8"/>
    <w:rsid w:val="0024490C"/>
    <w:rsid w:val="002776DD"/>
    <w:rsid w:val="00281419"/>
    <w:rsid w:val="00283935"/>
    <w:rsid w:val="00284C88"/>
    <w:rsid w:val="002B6DFA"/>
    <w:rsid w:val="002C29EE"/>
    <w:rsid w:val="002D2458"/>
    <w:rsid w:val="002E3FE5"/>
    <w:rsid w:val="002F40A5"/>
    <w:rsid w:val="003016E9"/>
    <w:rsid w:val="00313D5A"/>
    <w:rsid w:val="0032081B"/>
    <w:rsid w:val="00321FEC"/>
    <w:rsid w:val="00357FE1"/>
    <w:rsid w:val="0036797A"/>
    <w:rsid w:val="00375C69"/>
    <w:rsid w:val="00390F2A"/>
    <w:rsid w:val="003930D2"/>
    <w:rsid w:val="003A2E5B"/>
    <w:rsid w:val="003A3E34"/>
    <w:rsid w:val="003E3B9F"/>
    <w:rsid w:val="003E5847"/>
    <w:rsid w:val="003F0BFF"/>
    <w:rsid w:val="00402FA6"/>
    <w:rsid w:val="00410124"/>
    <w:rsid w:val="00410416"/>
    <w:rsid w:val="00425AB7"/>
    <w:rsid w:val="00431962"/>
    <w:rsid w:val="00450FD5"/>
    <w:rsid w:val="00452092"/>
    <w:rsid w:val="00466576"/>
    <w:rsid w:val="004676A2"/>
    <w:rsid w:val="00490933"/>
    <w:rsid w:val="00497F00"/>
    <w:rsid w:val="004B0159"/>
    <w:rsid w:val="004B3976"/>
    <w:rsid w:val="004B719F"/>
    <w:rsid w:val="004D02C3"/>
    <w:rsid w:val="004F5F2A"/>
    <w:rsid w:val="00501496"/>
    <w:rsid w:val="005110AE"/>
    <w:rsid w:val="00553B97"/>
    <w:rsid w:val="0056476F"/>
    <w:rsid w:val="005A5FC6"/>
    <w:rsid w:val="005C0AF1"/>
    <w:rsid w:val="005C4667"/>
    <w:rsid w:val="005C69E7"/>
    <w:rsid w:val="005C7EF8"/>
    <w:rsid w:val="005D2EF5"/>
    <w:rsid w:val="00605D5D"/>
    <w:rsid w:val="0061329A"/>
    <w:rsid w:val="00635E21"/>
    <w:rsid w:val="0065216A"/>
    <w:rsid w:val="00653D94"/>
    <w:rsid w:val="00671ABA"/>
    <w:rsid w:val="006960D5"/>
    <w:rsid w:val="006C3DAD"/>
    <w:rsid w:val="006C6BE1"/>
    <w:rsid w:val="006E2A58"/>
    <w:rsid w:val="006E52AE"/>
    <w:rsid w:val="00700C5A"/>
    <w:rsid w:val="00706F4E"/>
    <w:rsid w:val="007123C5"/>
    <w:rsid w:val="00747F72"/>
    <w:rsid w:val="007505D2"/>
    <w:rsid w:val="00753FD6"/>
    <w:rsid w:val="00770737"/>
    <w:rsid w:val="00787E94"/>
    <w:rsid w:val="00794D7D"/>
    <w:rsid w:val="007A6655"/>
    <w:rsid w:val="007B2402"/>
    <w:rsid w:val="007C3CC4"/>
    <w:rsid w:val="007D3B92"/>
    <w:rsid w:val="007D7796"/>
    <w:rsid w:val="008100A7"/>
    <w:rsid w:val="0081142F"/>
    <w:rsid w:val="008116E3"/>
    <w:rsid w:val="008273A2"/>
    <w:rsid w:val="00834D8C"/>
    <w:rsid w:val="008361B7"/>
    <w:rsid w:val="0084506C"/>
    <w:rsid w:val="0087707B"/>
    <w:rsid w:val="008956CA"/>
    <w:rsid w:val="008A1FF6"/>
    <w:rsid w:val="008B202A"/>
    <w:rsid w:val="008B4E13"/>
    <w:rsid w:val="008B6B36"/>
    <w:rsid w:val="008D3CFA"/>
    <w:rsid w:val="008E0919"/>
    <w:rsid w:val="009012D9"/>
    <w:rsid w:val="009019B9"/>
    <w:rsid w:val="009102D8"/>
    <w:rsid w:val="0091325D"/>
    <w:rsid w:val="00927E7C"/>
    <w:rsid w:val="0095350E"/>
    <w:rsid w:val="009666C8"/>
    <w:rsid w:val="00975537"/>
    <w:rsid w:val="00985D72"/>
    <w:rsid w:val="00994645"/>
    <w:rsid w:val="009A18DA"/>
    <w:rsid w:val="009A46A4"/>
    <w:rsid w:val="009B2B6F"/>
    <w:rsid w:val="009C0172"/>
    <w:rsid w:val="009E6216"/>
    <w:rsid w:val="009F5A4F"/>
    <w:rsid w:val="00A0050D"/>
    <w:rsid w:val="00A00D96"/>
    <w:rsid w:val="00A0362E"/>
    <w:rsid w:val="00A260B6"/>
    <w:rsid w:val="00A36C60"/>
    <w:rsid w:val="00A5035A"/>
    <w:rsid w:val="00A70221"/>
    <w:rsid w:val="00A974C0"/>
    <w:rsid w:val="00AB1C6A"/>
    <w:rsid w:val="00AD4786"/>
    <w:rsid w:val="00AE4D97"/>
    <w:rsid w:val="00B00F6C"/>
    <w:rsid w:val="00B15FDF"/>
    <w:rsid w:val="00B23B6B"/>
    <w:rsid w:val="00B274F2"/>
    <w:rsid w:val="00B316D2"/>
    <w:rsid w:val="00B44191"/>
    <w:rsid w:val="00B72F55"/>
    <w:rsid w:val="00B83338"/>
    <w:rsid w:val="00B9257C"/>
    <w:rsid w:val="00BB0196"/>
    <w:rsid w:val="00BB5DF5"/>
    <w:rsid w:val="00BB6064"/>
    <w:rsid w:val="00BC2C5A"/>
    <w:rsid w:val="00BF0CDE"/>
    <w:rsid w:val="00C225FB"/>
    <w:rsid w:val="00C2503E"/>
    <w:rsid w:val="00C84A3C"/>
    <w:rsid w:val="00CA03B0"/>
    <w:rsid w:val="00CD4630"/>
    <w:rsid w:val="00CD589E"/>
    <w:rsid w:val="00CE2DE9"/>
    <w:rsid w:val="00CE5D38"/>
    <w:rsid w:val="00D15F9A"/>
    <w:rsid w:val="00D1775B"/>
    <w:rsid w:val="00D52453"/>
    <w:rsid w:val="00D55652"/>
    <w:rsid w:val="00D60B84"/>
    <w:rsid w:val="00D723E6"/>
    <w:rsid w:val="00D8452A"/>
    <w:rsid w:val="00D878D0"/>
    <w:rsid w:val="00D92DE7"/>
    <w:rsid w:val="00DA57C4"/>
    <w:rsid w:val="00DC6027"/>
    <w:rsid w:val="00DD34EC"/>
    <w:rsid w:val="00DE5425"/>
    <w:rsid w:val="00DE7A94"/>
    <w:rsid w:val="00E04ADB"/>
    <w:rsid w:val="00E138F6"/>
    <w:rsid w:val="00E236BC"/>
    <w:rsid w:val="00E261DE"/>
    <w:rsid w:val="00E274EB"/>
    <w:rsid w:val="00E35D16"/>
    <w:rsid w:val="00E7590B"/>
    <w:rsid w:val="00E85264"/>
    <w:rsid w:val="00E9615C"/>
    <w:rsid w:val="00EE413D"/>
    <w:rsid w:val="00EF0DE0"/>
    <w:rsid w:val="00F02D61"/>
    <w:rsid w:val="00F113F6"/>
    <w:rsid w:val="00F14E7A"/>
    <w:rsid w:val="00F2178E"/>
    <w:rsid w:val="00F45F6D"/>
    <w:rsid w:val="00F65860"/>
    <w:rsid w:val="00F92DBC"/>
    <w:rsid w:val="00FA1FF3"/>
    <w:rsid w:val="00FA4EED"/>
    <w:rsid w:val="00FB0198"/>
    <w:rsid w:val="00FB3265"/>
    <w:rsid w:val="00FB66DE"/>
    <w:rsid w:val="00FC414A"/>
    <w:rsid w:val="00FE57ED"/>
    <w:rsid w:val="00FE7EC5"/>
    <w:rsid w:val="00FF05ED"/>
    <w:rsid w:val="015D3D9B"/>
    <w:rsid w:val="02CE43EA"/>
    <w:rsid w:val="04A857BC"/>
    <w:rsid w:val="04F07F2C"/>
    <w:rsid w:val="07380E21"/>
    <w:rsid w:val="07E579BF"/>
    <w:rsid w:val="08933FC3"/>
    <w:rsid w:val="0A1E5DB6"/>
    <w:rsid w:val="0AE264F0"/>
    <w:rsid w:val="0AEB786D"/>
    <w:rsid w:val="0B6F2F09"/>
    <w:rsid w:val="0CA53C05"/>
    <w:rsid w:val="0CCD5375"/>
    <w:rsid w:val="0D207DA7"/>
    <w:rsid w:val="0D602BC6"/>
    <w:rsid w:val="0E247013"/>
    <w:rsid w:val="0E661000"/>
    <w:rsid w:val="0EF10A7B"/>
    <w:rsid w:val="0F335FA9"/>
    <w:rsid w:val="0FB6154B"/>
    <w:rsid w:val="0FC63EC2"/>
    <w:rsid w:val="0FF53A61"/>
    <w:rsid w:val="114D7A65"/>
    <w:rsid w:val="116F60C1"/>
    <w:rsid w:val="126D229B"/>
    <w:rsid w:val="13291AF9"/>
    <w:rsid w:val="132F5523"/>
    <w:rsid w:val="13C02777"/>
    <w:rsid w:val="13CA326F"/>
    <w:rsid w:val="14104B47"/>
    <w:rsid w:val="143339B1"/>
    <w:rsid w:val="15653A9B"/>
    <w:rsid w:val="159836A6"/>
    <w:rsid w:val="16535C9F"/>
    <w:rsid w:val="16BE7E11"/>
    <w:rsid w:val="17216EF0"/>
    <w:rsid w:val="18730485"/>
    <w:rsid w:val="18AA1320"/>
    <w:rsid w:val="18B73E48"/>
    <w:rsid w:val="1A3C0691"/>
    <w:rsid w:val="1A546266"/>
    <w:rsid w:val="1A7A01DB"/>
    <w:rsid w:val="1A930B12"/>
    <w:rsid w:val="1AAC2AF8"/>
    <w:rsid w:val="1AB3736E"/>
    <w:rsid w:val="1D3E2986"/>
    <w:rsid w:val="1D717A4A"/>
    <w:rsid w:val="1DEE7933"/>
    <w:rsid w:val="1E55446D"/>
    <w:rsid w:val="1F015B80"/>
    <w:rsid w:val="1F464C0B"/>
    <w:rsid w:val="21066734"/>
    <w:rsid w:val="21F87032"/>
    <w:rsid w:val="23376259"/>
    <w:rsid w:val="234C6CD9"/>
    <w:rsid w:val="23620CCB"/>
    <w:rsid w:val="23BA737A"/>
    <w:rsid w:val="24813432"/>
    <w:rsid w:val="24F644B4"/>
    <w:rsid w:val="257638F3"/>
    <w:rsid w:val="258F35A7"/>
    <w:rsid w:val="25F47014"/>
    <w:rsid w:val="26B63833"/>
    <w:rsid w:val="271A5E03"/>
    <w:rsid w:val="28D84DB5"/>
    <w:rsid w:val="28FC140F"/>
    <w:rsid w:val="29F64A99"/>
    <w:rsid w:val="2A5B598E"/>
    <w:rsid w:val="2B010B59"/>
    <w:rsid w:val="2C4964AC"/>
    <w:rsid w:val="2C9B3FD3"/>
    <w:rsid w:val="2CA010E6"/>
    <w:rsid w:val="2CCF79FC"/>
    <w:rsid w:val="2D204F71"/>
    <w:rsid w:val="2D322EE6"/>
    <w:rsid w:val="2D5933C7"/>
    <w:rsid w:val="2E1D1F91"/>
    <w:rsid w:val="2F2350F1"/>
    <w:rsid w:val="2F4F0E88"/>
    <w:rsid w:val="2F6F5112"/>
    <w:rsid w:val="2FC06501"/>
    <w:rsid w:val="302B6B0D"/>
    <w:rsid w:val="308F64C9"/>
    <w:rsid w:val="30942DDF"/>
    <w:rsid w:val="31DA67B4"/>
    <w:rsid w:val="31DF0890"/>
    <w:rsid w:val="326614DD"/>
    <w:rsid w:val="33263FC5"/>
    <w:rsid w:val="333F0445"/>
    <w:rsid w:val="34251FE5"/>
    <w:rsid w:val="34422B79"/>
    <w:rsid w:val="34FE4BD6"/>
    <w:rsid w:val="35AD23AE"/>
    <w:rsid w:val="35C65807"/>
    <w:rsid w:val="35EE7595"/>
    <w:rsid w:val="3604660D"/>
    <w:rsid w:val="36515906"/>
    <w:rsid w:val="36C615B0"/>
    <w:rsid w:val="376C547C"/>
    <w:rsid w:val="37A93E1F"/>
    <w:rsid w:val="3A097903"/>
    <w:rsid w:val="3AEC0364"/>
    <w:rsid w:val="3B087DE2"/>
    <w:rsid w:val="3BF64DA6"/>
    <w:rsid w:val="3C183340"/>
    <w:rsid w:val="3C3548FB"/>
    <w:rsid w:val="3C694189"/>
    <w:rsid w:val="3C876D03"/>
    <w:rsid w:val="3CE84FD4"/>
    <w:rsid w:val="3E20768F"/>
    <w:rsid w:val="3F5E0839"/>
    <w:rsid w:val="3FD85C89"/>
    <w:rsid w:val="3FF40145"/>
    <w:rsid w:val="400849AD"/>
    <w:rsid w:val="40A82E77"/>
    <w:rsid w:val="40EB0128"/>
    <w:rsid w:val="413845E2"/>
    <w:rsid w:val="425B0AA1"/>
    <w:rsid w:val="430E541C"/>
    <w:rsid w:val="43301DD5"/>
    <w:rsid w:val="43422D90"/>
    <w:rsid w:val="44C66A95"/>
    <w:rsid w:val="45007F99"/>
    <w:rsid w:val="45462C72"/>
    <w:rsid w:val="45882026"/>
    <w:rsid w:val="47E479EC"/>
    <w:rsid w:val="48046BBE"/>
    <w:rsid w:val="492F0D16"/>
    <w:rsid w:val="493A6FC6"/>
    <w:rsid w:val="49A91621"/>
    <w:rsid w:val="49EB1BAB"/>
    <w:rsid w:val="4A5944B8"/>
    <w:rsid w:val="4AD71F2A"/>
    <w:rsid w:val="4AFA20E2"/>
    <w:rsid w:val="4C305BDF"/>
    <w:rsid w:val="4CC8117C"/>
    <w:rsid w:val="4DAF08EA"/>
    <w:rsid w:val="4E3A71E1"/>
    <w:rsid w:val="4FCC10B5"/>
    <w:rsid w:val="506A2C7A"/>
    <w:rsid w:val="5071427A"/>
    <w:rsid w:val="508D647A"/>
    <w:rsid w:val="5096484C"/>
    <w:rsid w:val="50FC477E"/>
    <w:rsid w:val="53D3704C"/>
    <w:rsid w:val="54BF5F33"/>
    <w:rsid w:val="555E0078"/>
    <w:rsid w:val="55CA320D"/>
    <w:rsid w:val="57734958"/>
    <w:rsid w:val="57CF4AE2"/>
    <w:rsid w:val="58837DF6"/>
    <w:rsid w:val="59E42CCB"/>
    <w:rsid w:val="5B1A5643"/>
    <w:rsid w:val="5B5B0E9D"/>
    <w:rsid w:val="5C243F55"/>
    <w:rsid w:val="5FCB22C6"/>
    <w:rsid w:val="60CC687A"/>
    <w:rsid w:val="6152377D"/>
    <w:rsid w:val="619D70C9"/>
    <w:rsid w:val="61B179A7"/>
    <w:rsid w:val="63927FA8"/>
    <w:rsid w:val="63AA126F"/>
    <w:rsid w:val="63D802DB"/>
    <w:rsid w:val="63E55EE3"/>
    <w:rsid w:val="6441156E"/>
    <w:rsid w:val="644551CC"/>
    <w:rsid w:val="65F931FB"/>
    <w:rsid w:val="663D69AC"/>
    <w:rsid w:val="668E0D89"/>
    <w:rsid w:val="671946B6"/>
    <w:rsid w:val="67B60F60"/>
    <w:rsid w:val="689929AA"/>
    <w:rsid w:val="6A442F34"/>
    <w:rsid w:val="6BB00F96"/>
    <w:rsid w:val="6C7E1980"/>
    <w:rsid w:val="6CD46C04"/>
    <w:rsid w:val="6CF53604"/>
    <w:rsid w:val="6D7C397A"/>
    <w:rsid w:val="6DC0723F"/>
    <w:rsid w:val="6DCA1575"/>
    <w:rsid w:val="6E001479"/>
    <w:rsid w:val="6E6668E8"/>
    <w:rsid w:val="6E90214B"/>
    <w:rsid w:val="6EB05E34"/>
    <w:rsid w:val="6F5D514F"/>
    <w:rsid w:val="70310A48"/>
    <w:rsid w:val="71500E54"/>
    <w:rsid w:val="71AC45EA"/>
    <w:rsid w:val="72780200"/>
    <w:rsid w:val="73030D2E"/>
    <w:rsid w:val="7317120D"/>
    <w:rsid w:val="7442025C"/>
    <w:rsid w:val="74E062C6"/>
    <w:rsid w:val="74F108B3"/>
    <w:rsid w:val="759B490B"/>
    <w:rsid w:val="75C269E9"/>
    <w:rsid w:val="76216560"/>
    <w:rsid w:val="766353AB"/>
    <w:rsid w:val="76745886"/>
    <w:rsid w:val="767551AA"/>
    <w:rsid w:val="768758EE"/>
    <w:rsid w:val="775528F8"/>
    <w:rsid w:val="77BA4D34"/>
    <w:rsid w:val="78900B3A"/>
    <w:rsid w:val="78AD6FB2"/>
    <w:rsid w:val="78DE357A"/>
    <w:rsid w:val="79412377"/>
    <w:rsid w:val="7A036982"/>
    <w:rsid w:val="7B0E6899"/>
    <w:rsid w:val="7B6F6120"/>
    <w:rsid w:val="7BD054A4"/>
    <w:rsid w:val="7D3E3ADE"/>
    <w:rsid w:val="7DA57CBB"/>
    <w:rsid w:val="7E9A2330"/>
    <w:rsid w:val="7F1E7E04"/>
    <w:rsid w:val="7F6B3BC1"/>
    <w:rsid w:val="7FD73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5"/>
    <w:unhideWhenUsed/>
    <w:qFormat/>
    <w:uiPriority w:val="0"/>
    <w:pPr>
      <w:keepNext/>
      <w:keepLines/>
      <w:spacing w:before="260" w:after="260" w:line="413" w:lineRule="auto"/>
      <w:outlineLvl w:val="1"/>
    </w:pPr>
    <w:rPr>
      <w:rFonts w:ascii="Arial" w:hAnsi="Arial" w:eastAsia="黑体" w:cstheme="minorBidi"/>
      <w:b/>
      <w:sz w:val="32"/>
    </w:rPr>
  </w:style>
  <w:style w:type="character" w:default="1" w:styleId="11">
    <w:name w:val="Default Paragraph Font"/>
    <w:unhideWhenUsed/>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link w:val="19"/>
    <w:qFormat/>
    <w:uiPriority w:val="0"/>
    <w:pPr>
      <w:ind w:firstLine="420" w:firstLineChars="200"/>
    </w:pPr>
  </w:style>
  <w:style w:type="paragraph" w:styleId="4">
    <w:name w:val="Body Text"/>
    <w:basedOn w:val="1"/>
    <w:link w:val="24"/>
    <w:qFormat/>
    <w:uiPriority w:val="0"/>
    <w:pPr>
      <w:spacing w:after="120"/>
    </w:pPr>
  </w:style>
  <w:style w:type="paragraph" w:styleId="5">
    <w:name w:val="Date"/>
    <w:basedOn w:val="1"/>
    <w:next w:val="1"/>
    <w:qFormat/>
    <w:uiPriority w:val="0"/>
    <w:pPr>
      <w:ind w:left="100" w:leftChars="2500"/>
    </w:pPr>
  </w:style>
  <w:style w:type="paragraph" w:styleId="6">
    <w:name w:val="Body Text Indent 2"/>
    <w:basedOn w:val="1"/>
    <w:link w:val="23"/>
    <w:qFormat/>
    <w:uiPriority w:val="0"/>
    <w:pPr>
      <w:spacing w:after="120" w:line="480" w:lineRule="auto"/>
      <w:ind w:left="420" w:leftChars="200"/>
    </w:pPr>
  </w:style>
  <w:style w:type="paragraph" w:styleId="7">
    <w:name w:val="Balloon Text"/>
    <w:basedOn w:val="1"/>
    <w:semiHidden/>
    <w:qFormat/>
    <w:uiPriority w:val="0"/>
    <w:rPr>
      <w:sz w:val="18"/>
      <w:szCs w:val="18"/>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Strong"/>
    <w:qFormat/>
    <w:uiPriority w:val="0"/>
    <w:rPr>
      <w:b/>
      <w:bCs/>
    </w:rPr>
  </w:style>
  <w:style w:type="character" w:styleId="13">
    <w:name w:val="Hyperlink"/>
    <w:qFormat/>
    <w:uiPriority w:val="0"/>
    <w:rPr>
      <w:color w:val="0000FF"/>
      <w:u w:val="single"/>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
    <w:name w:val="页眉 字符"/>
    <w:link w:val="9"/>
    <w:qFormat/>
    <w:uiPriority w:val="0"/>
    <w:rPr>
      <w:kern w:val="2"/>
      <w:sz w:val="18"/>
      <w:szCs w:val="18"/>
    </w:rPr>
  </w:style>
  <w:style w:type="character" w:customStyle="1" w:styleId="17">
    <w:name w:val="页脚 字符"/>
    <w:link w:val="8"/>
    <w:qFormat/>
    <w:uiPriority w:val="99"/>
    <w:rPr>
      <w:kern w:val="2"/>
      <w:sz w:val="18"/>
      <w:szCs w:val="18"/>
    </w:rPr>
  </w:style>
  <w:style w:type="paragraph" w:customStyle="1" w:styleId="18">
    <w:name w:val="纯文本1"/>
    <w:basedOn w:val="1"/>
    <w:qFormat/>
    <w:uiPriority w:val="0"/>
    <w:pPr>
      <w:adjustRightInd w:val="0"/>
      <w:textAlignment w:val="baseline"/>
    </w:pPr>
    <w:rPr>
      <w:rFonts w:ascii="宋体" w:hAnsi="Courier New" w:eastAsia="楷体_GB2312"/>
      <w:sz w:val="28"/>
      <w:szCs w:val="20"/>
    </w:rPr>
  </w:style>
  <w:style w:type="character" w:customStyle="1" w:styleId="19">
    <w:name w:val="正文缩进 字符"/>
    <w:link w:val="3"/>
    <w:qFormat/>
    <w:uiPriority w:val="0"/>
    <w:rPr>
      <w:kern w:val="2"/>
      <w:sz w:val="21"/>
      <w:szCs w:val="24"/>
    </w:rPr>
  </w:style>
  <w:style w:type="paragraph" w:customStyle="1" w:styleId="2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21">
    <w:name w:val="font11"/>
    <w:basedOn w:val="11"/>
    <w:qFormat/>
    <w:uiPriority w:val="0"/>
    <w:rPr>
      <w:rFonts w:hint="default" w:ascii="仿宋_GB2312" w:eastAsia="仿宋_GB2312" w:cs="仿宋_GB2312"/>
      <w:color w:val="000000"/>
      <w:sz w:val="20"/>
      <w:szCs w:val="20"/>
      <w:u w:val="none"/>
    </w:rPr>
  </w:style>
  <w:style w:type="character" w:customStyle="1" w:styleId="22">
    <w:name w:val="font01"/>
    <w:basedOn w:val="11"/>
    <w:qFormat/>
    <w:uiPriority w:val="0"/>
    <w:rPr>
      <w:rFonts w:hint="default" w:ascii="Times New Roman" w:hAnsi="Times New Roman" w:cs="Times New Roman"/>
      <w:color w:val="000000"/>
      <w:sz w:val="20"/>
      <w:szCs w:val="20"/>
      <w:u w:val="none"/>
    </w:rPr>
  </w:style>
  <w:style w:type="character" w:customStyle="1" w:styleId="23">
    <w:name w:val="正文文本缩进 2 字符"/>
    <w:basedOn w:val="11"/>
    <w:link w:val="6"/>
    <w:qFormat/>
    <w:uiPriority w:val="0"/>
    <w:rPr>
      <w:kern w:val="2"/>
      <w:sz w:val="21"/>
      <w:szCs w:val="24"/>
    </w:rPr>
  </w:style>
  <w:style w:type="character" w:customStyle="1" w:styleId="24">
    <w:name w:val="正文文本 字符"/>
    <w:basedOn w:val="11"/>
    <w:link w:val="4"/>
    <w:qFormat/>
    <w:uiPriority w:val="0"/>
    <w:rPr>
      <w:kern w:val="2"/>
      <w:sz w:val="21"/>
      <w:szCs w:val="24"/>
    </w:rPr>
  </w:style>
  <w:style w:type="character" w:customStyle="1" w:styleId="25">
    <w:name w:val="标题 2 字符"/>
    <w:basedOn w:val="11"/>
    <w:link w:val="2"/>
    <w:qFormat/>
    <w:uiPriority w:val="0"/>
    <w:rPr>
      <w:rFonts w:ascii="Arial" w:hAnsi="Arial" w:eastAsia="黑体" w:cstheme="minorBidi"/>
      <w:b/>
      <w:kern w:val="2"/>
      <w:sz w:val="32"/>
      <w:szCs w:val="24"/>
    </w:rPr>
  </w:style>
  <w:style w:type="paragraph" w:customStyle="1" w:styleId="26">
    <w:name w:val="列出段落3"/>
    <w:basedOn w:val="1"/>
    <w:qFormat/>
    <w:uiPriority w:val="0"/>
    <w:pPr>
      <w:widowControl/>
      <w:ind w:firstLine="420" w:firstLineChars="200"/>
    </w:pPr>
    <w:rPr>
      <w:rFonts w:ascii="Calibri" w:hAnsi="Calibri" w:cs="Calibri"/>
      <w:kern w:val="0"/>
      <w:sz w:val="20"/>
      <w:szCs w:val="20"/>
    </w:rPr>
  </w:style>
  <w:style w:type="paragraph" w:customStyle="1" w:styleId="2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5F6041-9FCE-4E1C-B702-7750F4D6A73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22</Pages>
  <Words>2019</Words>
  <Characters>11511</Characters>
  <Lines>95</Lines>
  <Paragraphs>27</Paragraphs>
  <TotalTime>0</TotalTime>
  <ScaleCrop>false</ScaleCrop>
  <LinksUpToDate>false</LinksUpToDate>
  <CharactersWithSpaces>13503</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2017-08-25T07:07:00Z</dcterms:created>
  <dc:creator>luobo</dc:creator>
  <cp:lastModifiedBy>lilulu</cp:lastModifiedBy>
  <cp:lastPrinted>2017-07-25T01:20:00Z</cp:lastPrinted>
  <dcterms:modified xsi:type="dcterms:W3CDTF">2017-09-08T03:24:13Z</dcterms:modified>
  <dc:title>空调维修保养合同</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