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center" w:pos="4476"/>
          <w:tab w:val="right" w:pos="8953"/>
        </w:tabs>
        <w:ind w:firstLine="0"/>
        <w:rPr>
          <w:rFonts w:eastAsia="黑体"/>
          <w:b/>
          <w:bCs/>
          <w:sz w:val="84"/>
        </w:rPr>
      </w:pPr>
      <w:bookmarkStart w:id="0" w:name="_Toc455914596"/>
      <w:bookmarkStart w:id="1" w:name="_Toc142209795"/>
      <w:bookmarkStart w:id="2" w:name="_Toc115756014"/>
      <w:r>
        <w:rPr>
          <w:rFonts w:hint="eastAsia" w:eastAsia="楷体_GB2312"/>
          <w:b/>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2"/>
        <w:tabs>
          <w:tab w:val="center" w:pos="4476"/>
          <w:tab w:val="right" w:pos="8953"/>
        </w:tabs>
        <w:ind w:firstLine="1687" w:firstLineChars="200"/>
        <w:rPr>
          <w:rFonts w:eastAsia="黑体"/>
          <w:b/>
          <w:bCs/>
          <w:sz w:val="84"/>
        </w:rPr>
      </w:pPr>
    </w:p>
    <w:p>
      <w:pPr>
        <w:pStyle w:val="82"/>
        <w:tabs>
          <w:tab w:val="center" w:pos="4476"/>
          <w:tab w:val="right" w:pos="8953"/>
        </w:tabs>
        <w:ind w:firstLine="1687" w:firstLineChars="200"/>
        <w:rPr>
          <w:rFonts w:eastAsia="黑体"/>
          <w:b/>
          <w:bCs/>
          <w:sz w:val="84"/>
        </w:rPr>
      </w:pPr>
    </w:p>
    <w:p>
      <w:pPr>
        <w:pStyle w:val="82"/>
        <w:tabs>
          <w:tab w:val="center" w:pos="4476"/>
          <w:tab w:val="right" w:pos="8953"/>
        </w:tabs>
        <w:ind w:firstLine="641" w:firstLineChars="76"/>
        <w:jc w:val="center"/>
        <w:rPr>
          <w:rFonts w:eastAsia="黑体"/>
          <w:b/>
          <w:bCs/>
          <w:sz w:val="84"/>
        </w:rPr>
      </w:pPr>
      <w:r>
        <w:rPr>
          <w:rFonts w:hint="eastAsia" w:eastAsia="黑体"/>
          <w:b/>
          <w:bCs/>
          <w:sz w:val="84"/>
        </w:rPr>
        <w:t>招　标　文　件</w:t>
      </w:r>
    </w:p>
    <w:p>
      <w:pPr>
        <w:pStyle w:val="82"/>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left="630" w:leftChars="300" w:firstLine="502" w:firstLineChars="139"/>
        <w:jc w:val="left"/>
        <w:rPr>
          <w:rFonts w:ascii="宋体" w:hAnsi="宋体"/>
          <w:b/>
          <w:sz w:val="36"/>
        </w:rPr>
      </w:pPr>
      <w:r>
        <w:rPr>
          <w:rFonts w:hint="eastAsia" w:ascii="宋体" w:hAnsi="宋体"/>
          <w:b/>
          <w:sz w:val="36"/>
        </w:rPr>
        <w:t>项目名称：</w:t>
      </w:r>
      <w:r>
        <w:rPr>
          <w:rFonts w:hint="eastAsia" w:ascii="宋体" w:hAnsi="宋体"/>
          <w:b/>
          <w:sz w:val="36"/>
          <w:szCs w:val="36"/>
          <w:u w:val="single"/>
        </w:rPr>
        <w:t>江苏开放大学新校区树木移栽和养护</w:t>
      </w:r>
      <w:r>
        <w:rPr>
          <w:rFonts w:hint="eastAsia" w:ascii="宋体" w:hAnsi="宋体"/>
          <w:b/>
          <w:sz w:val="36"/>
        </w:rPr>
        <w:t xml:space="preserve"> </w:t>
      </w:r>
    </w:p>
    <w:p>
      <w:pPr>
        <w:spacing w:line="360" w:lineRule="auto"/>
        <w:ind w:left="630" w:leftChars="300" w:firstLine="502" w:firstLineChars="139"/>
        <w:jc w:val="left"/>
        <w:rPr>
          <w:rFonts w:ascii="宋体" w:hAnsi="宋体"/>
        </w:rPr>
      </w:pPr>
      <w:r>
        <w:rPr>
          <w:rFonts w:hint="eastAsia" w:ascii="宋体" w:hAnsi="宋体"/>
          <w:b/>
          <w:sz w:val="36"/>
        </w:rPr>
        <w:t>项目编号：</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20</w:t>
      </w:r>
      <w:r>
        <w:rPr>
          <w:rFonts w:ascii="宋体" w:hAnsi="宋体"/>
          <w:b/>
          <w:sz w:val="36"/>
          <w:u w:val="single"/>
        </w:rPr>
        <w:t>20</w:t>
      </w:r>
      <w:r>
        <w:rPr>
          <w:rFonts w:hint="eastAsia" w:ascii="宋体" w:hAnsi="宋体"/>
          <w:b/>
          <w:sz w:val="36"/>
          <w:u w:val="single"/>
        </w:rPr>
        <w:t>-ZB-XC</w:t>
      </w:r>
      <w:r>
        <w:rPr>
          <w:rFonts w:hint="eastAsia" w:ascii="宋体" w:hAnsi="宋体"/>
          <w:b/>
          <w:sz w:val="36"/>
          <w:u w:val="single"/>
          <w:lang w:val="en-US" w:eastAsia="zh-CN"/>
        </w:rPr>
        <w:t>001</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pPr>
        <w:pStyle w:val="82"/>
        <w:spacing w:before="0" w:after="0"/>
        <w:ind w:firstLine="0"/>
        <w:rPr>
          <w:rFonts w:ascii="宋体" w:hAnsi="宋体"/>
        </w:rPr>
      </w:pPr>
    </w:p>
    <w:p>
      <w:pPr>
        <w:pStyle w:val="82"/>
        <w:spacing w:before="0" w:after="0"/>
        <w:ind w:firstLine="0"/>
        <w:rPr>
          <w:rFonts w:ascii="宋体" w:hAnsi="宋体"/>
        </w:rPr>
      </w:pPr>
    </w:p>
    <w:p>
      <w:pPr>
        <w:pStyle w:val="82"/>
        <w:spacing w:before="0" w:after="0"/>
        <w:ind w:firstLine="0"/>
        <w:rPr>
          <w:rFonts w:ascii="宋体" w:hAnsi="宋体"/>
        </w:rPr>
      </w:pPr>
    </w:p>
    <w:p>
      <w:pPr>
        <w:pStyle w:val="82"/>
        <w:spacing w:before="0" w:after="0"/>
        <w:ind w:firstLine="0"/>
        <w:rPr>
          <w:rFonts w:ascii="宋体" w:hAnsi="宋体"/>
        </w:rPr>
      </w:pPr>
    </w:p>
    <w:p>
      <w:pPr>
        <w:pStyle w:val="82"/>
        <w:spacing w:before="0" w:after="0"/>
        <w:ind w:firstLine="0"/>
        <w:rPr>
          <w:rFonts w:ascii="宋体" w:hAnsi="宋体"/>
        </w:rPr>
      </w:pPr>
    </w:p>
    <w:p>
      <w:pPr>
        <w:pStyle w:val="82"/>
        <w:spacing w:before="0" w:after="0"/>
        <w:ind w:firstLine="0"/>
        <w:rPr>
          <w:rFonts w:ascii="宋体" w:hAnsi="宋体"/>
        </w:rPr>
      </w:pPr>
    </w:p>
    <w:p>
      <w:pPr>
        <w:pStyle w:val="82"/>
        <w:spacing w:before="0" w:after="0"/>
        <w:ind w:firstLine="0"/>
        <w:rPr>
          <w:rFonts w:ascii="宋体" w:hAnsi="宋体"/>
        </w:rPr>
      </w:pPr>
    </w:p>
    <w:p>
      <w:pPr>
        <w:pStyle w:val="82"/>
        <w:spacing w:before="0" w:after="0"/>
        <w:ind w:firstLine="0"/>
        <w:rPr>
          <w:rFonts w:ascii="宋体" w:hAnsi="宋体"/>
        </w:rPr>
      </w:pPr>
    </w:p>
    <w:p>
      <w:pPr>
        <w:pStyle w:val="82"/>
        <w:spacing w:before="0" w:after="0"/>
        <w:ind w:firstLine="0"/>
        <w:rPr>
          <w:rFonts w:ascii="宋体" w:hAnsi="宋体"/>
        </w:rPr>
      </w:pPr>
    </w:p>
    <w:p>
      <w:pPr>
        <w:pStyle w:val="82"/>
        <w:ind w:firstLine="0"/>
        <w:jc w:val="center"/>
        <w:rPr>
          <w:b/>
          <w:bCs/>
          <w:sz w:val="32"/>
        </w:rPr>
      </w:pPr>
      <w:r>
        <w:rPr>
          <w:rFonts w:hint="eastAsia"/>
          <w:b/>
          <w:bCs/>
          <w:sz w:val="32"/>
        </w:rPr>
        <w:t>江苏开放大学</w:t>
      </w:r>
    </w:p>
    <w:p>
      <w:pPr>
        <w:pStyle w:val="82"/>
        <w:spacing w:before="0" w:after="0"/>
        <w:ind w:firstLine="0"/>
        <w:rPr>
          <w:rFonts w:ascii="宋体" w:hAnsi="宋体"/>
        </w:rPr>
      </w:pPr>
    </w:p>
    <w:p>
      <w:pPr>
        <w:pStyle w:val="5"/>
        <w:jc w:val="center"/>
        <w:rPr>
          <w:rFonts w:ascii="Times New Roman" w:hAnsi="Times New Roman" w:eastAsia="楷体"/>
          <w:sz w:val="28"/>
          <w:szCs w:val="21"/>
        </w:rPr>
      </w:pPr>
      <w:r>
        <w:rPr>
          <w:rFonts w:ascii="Times New Roman" w:hAnsi="Times New Roman" w:eastAsia="楷体"/>
          <w:sz w:val="44"/>
        </w:rPr>
        <w:t>第一部分</w:t>
      </w:r>
      <w:r>
        <w:rPr>
          <w:rFonts w:hint="eastAsia" w:ascii="Times New Roman" w:hAnsi="Times New Roman" w:eastAsia="楷体"/>
          <w:sz w:val="44"/>
        </w:rPr>
        <w:t xml:space="preserve">  </w:t>
      </w:r>
      <w:r>
        <w:rPr>
          <w:rFonts w:ascii="Times New Roman" w:hAnsi="Times New Roman" w:eastAsia="楷体"/>
          <w:sz w:val="44"/>
        </w:rPr>
        <w:t>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rPr>
        <w:t xml:space="preserve"> </w:t>
      </w:r>
      <w:r>
        <w:rPr>
          <w:rFonts w:hint="eastAsia" w:ascii="Times New Roman" w:hAnsi="Times New Roman" w:cs="Times New Roman"/>
          <w:sz w:val="21"/>
          <w:szCs w:val="21"/>
          <w:u w:val="single"/>
        </w:rPr>
        <w:t xml:space="preserve">江苏开放大学新校区树木移栽和养护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bookmarkStart w:id="4" w:name="_Hlk35443663"/>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bCs/>
          <w:color w:val="auto"/>
          <w:sz w:val="21"/>
          <w:szCs w:val="21"/>
        </w:rPr>
      </w:pPr>
      <w:r>
        <w:rPr>
          <w:rFonts w:ascii="Times New Roman" w:hAnsi="Times New Roman" w:cs="Times New Roman"/>
          <w:color w:val="auto"/>
          <w:sz w:val="21"/>
          <w:szCs w:val="21"/>
        </w:rPr>
        <w:t>项目编号：</w:t>
      </w:r>
      <w:r>
        <w:rPr>
          <w:rFonts w:hint="eastAsia" w:ascii="Times New Roman" w:hAnsi="Times New Roman" w:cs="Times New Roman"/>
          <w:color w:val="auto"/>
          <w:sz w:val="21"/>
          <w:szCs w:val="21"/>
        </w:rPr>
        <w:t>20</w:t>
      </w:r>
      <w:r>
        <w:rPr>
          <w:rFonts w:ascii="Times New Roman" w:hAnsi="Times New Roman" w:cs="Times New Roman"/>
          <w:color w:val="auto"/>
          <w:sz w:val="21"/>
          <w:szCs w:val="21"/>
        </w:rPr>
        <w:t>20</w:t>
      </w:r>
      <w:r>
        <w:rPr>
          <w:rFonts w:hint="eastAsia" w:ascii="Times New Roman" w:hAnsi="Times New Roman" w:cs="Times New Roman"/>
          <w:color w:val="auto"/>
          <w:sz w:val="21"/>
          <w:szCs w:val="21"/>
        </w:rPr>
        <w:t>-ZB-XC</w:t>
      </w:r>
      <w:r>
        <w:rPr>
          <w:rFonts w:hint="eastAsia" w:ascii="Times New Roman" w:hAnsi="Times New Roman" w:cs="Times New Roman"/>
          <w:color w:val="auto"/>
          <w:sz w:val="21"/>
          <w:szCs w:val="21"/>
          <w:lang w:val="en-US" w:eastAsia="zh-CN"/>
        </w:rPr>
        <w:t>001</w:t>
      </w:r>
      <w:r>
        <w:rPr>
          <w:rFonts w:hint="eastAsia" w:ascii="Times New Roman" w:hAnsi="Times New Roman" w:cs="Times New Roman"/>
          <w:color w:val="auto"/>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bCs/>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rPr>
        <w:t>江苏开放大学新校区树木移栽和养护。</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bookmarkStart w:id="5" w:name="_Toc455914598"/>
      <w:r>
        <w:rPr>
          <w:rFonts w:hint="eastAsia" w:ascii="Times New Roman" w:hAnsi="Times New Roman" w:cs="Times New Roman"/>
          <w:color w:val="auto"/>
          <w:sz w:val="21"/>
          <w:szCs w:val="21"/>
        </w:rPr>
        <w:t>项目预算：1</w:t>
      </w:r>
      <w:r>
        <w:rPr>
          <w:rFonts w:ascii="Times New Roman" w:hAnsi="Times New Roman" w:cs="Times New Roman"/>
          <w:color w:val="auto"/>
          <w:sz w:val="21"/>
          <w:szCs w:val="21"/>
        </w:rPr>
        <w:t>9</w:t>
      </w:r>
      <w:r>
        <w:rPr>
          <w:rFonts w:hint="eastAsia" w:ascii="Times New Roman" w:hAnsi="Times New Roman" w:cs="Times New Roman"/>
          <w:color w:val="auto"/>
          <w:sz w:val="21"/>
          <w:szCs w:val="21"/>
        </w:rPr>
        <w:t>.</w:t>
      </w:r>
      <w:r>
        <w:rPr>
          <w:rFonts w:ascii="Times New Roman" w:hAnsi="Times New Roman" w:cs="Times New Roman"/>
          <w:color w:val="auto"/>
          <w:sz w:val="21"/>
          <w:szCs w:val="21"/>
        </w:rPr>
        <w:t>99</w:t>
      </w:r>
      <w:r>
        <w:rPr>
          <w:rFonts w:hint="eastAsia" w:ascii="Times New Roman" w:hAnsi="Times New Roman" w:cs="Times New Roman"/>
          <w:color w:val="auto"/>
          <w:sz w:val="21"/>
          <w:szCs w:val="21"/>
        </w:rPr>
        <w:t>万元。</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bookmarkStart w:id="6" w:name="_Hlk35443981"/>
      <w:r>
        <w:rPr>
          <w:rFonts w:hint="eastAsia" w:ascii="Times New Roman" w:hAnsi="Times New Roman" w:cs="Times New Roman"/>
          <w:color w:val="auto"/>
          <w:sz w:val="21"/>
          <w:szCs w:val="21"/>
        </w:rPr>
        <w:t>项目服务期限：移栽3</w:t>
      </w:r>
      <w:r>
        <w:rPr>
          <w:rFonts w:ascii="Times New Roman" w:hAnsi="Times New Roman" w:cs="Times New Roman"/>
          <w:color w:val="auto"/>
          <w:sz w:val="21"/>
          <w:szCs w:val="21"/>
        </w:rPr>
        <w:t>0</w:t>
      </w:r>
      <w:r>
        <w:rPr>
          <w:rFonts w:hint="eastAsia" w:ascii="Times New Roman" w:hAnsi="Times New Roman" w:cs="Times New Roman"/>
          <w:color w:val="auto"/>
          <w:sz w:val="21"/>
          <w:szCs w:val="21"/>
        </w:rPr>
        <w:t>日历天</w:t>
      </w:r>
      <w:bookmarkEnd w:id="6"/>
      <w:r>
        <w:rPr>
          <w:rFonts w:hint="eastAsia" w:ascii="Times New Roman" w:hAnsi="Times New Roman" w:cs="Times New Roman"/>
          <w:color w:val="auto"/>
          <w:sz w:val="21"/>
          <w:szCs w:val="21"/>
        </w:rPr>
        <w:t>，养护</w:t>
      </w:r>
      <w:r>
        <w:rPr>
          <w:rStyle w:val="87"/>
          <w:rFonts w:hint="eastAsia"/>
          <w:bCs/>
          <w:color w:val="auto"/>
          <w:sz w:val="21"/>
          <w:szCs w:val="21"/>
        </w:rPr>
        <w:t>期为1年</w:t>
      </w:r>
      <w:r>
        <w:rPr>
          <w:rFonts w:hint="eastAsia" w:ascii="Times New Roman" w:hAnsi="Times New Roman" w:cs="Times New Roman"/>
          <w:color w:val="auto"/>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项目说明：</w:t>
      </w:r>
      <w:r>
        <w:rPr>
          <w:rStyle w:val="87"/>
          <w:rFonts w:cs="Times New Roman"/>
          <w:bCs/>
          <w:color w:val="auto"/>
          <w:sz w:val="21"/>
          <w:szCs w:val="21"/>
        </w:rPr>
        <w:t>江苏开放大学新校区位于南京浦口</w:t>
      </w:r>
      <w:r>
        <w:rPr>
          <w:rStyle w:val="87"/>
          <w:rFonts w:hint="eastAsia" w:cs="Times New Roman"/>
          <w:bCs/>
          <w:color w:val="auto"/>
          <w:sz w:val="21"/>
          <w:szCs w:val="21"/>
        </w:rPr>
        <w:t>区桥林</w:t>
      </w:r>
      <w:r>
        <w:rPr>
          <w:rStyle w:val="87"/>
          <w:rFonts w:cs="Times New Roman"/>
          <w:bCs/>
          <w:color w:val="auto"/>
          <w:sz w:val="21"/>
          <w:szCs w:val="21"/>
        </w:rPr>
        <w:t>街道，根据</w:t>
      </w:r>
      <w:r>
        <w:rPr>
          <w:rStyle w:val="87"/>
          <w:rFonts w:hint="eastAsia" w:cs="Times New Roman"/>
          <w:bCs/>
          <w:color w:val="auto"/>
          <w:sz w:val="21"/>
          <w:szCs w:val="21"/>
        </w:rPr>
        <w:t>项目</w:t>
      </w:r>
      <w:r>
        <w:rPr>
          <w:rStyle w:val="87"/>
          <w:rFonts w:cs="Times New Roman"/>
          <w:bCs/>
          <w:color w:val="auto"/>
          <w:sz w:val="21"/>
          <w:szCs w:val="21"/>
        </w:rPr>
        <w:t>要求，将新校区征用土地的部分原始树木移栽至指定区域并进行养护。</w:t>
      </w:r>
    </w:p>
    <w:p>
      <w:pPr>
        <w:pStyle w:val="5"/>
        <w:rPr>
          <w:rFonts w:ascii="Times New Roman" w:hAnsi="Times New Roman"/>
          <w:sz w:val="21"/>
          <w:szCs w:val="21"/>
        </w:rPr>
      </w:pPr>
      <w:r>
        <w:rPr>
          <w:rFonts w:ascii="Times New Roman" w:hAnsi="Times New Roman"/>
          <w:sz w:val="21"/>
          <w:szCs w:val="21"/>
        </w:rPr>
        <w:t>1.2投标人资质条件</w:t>
      </w:r>
      <w:bookmarkEnd w:id="5"/>
      <w:bookmarkStart w:id="7"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kern w:val="0"/>
          <w:szCs w:val="21"/>
        </w:rPr>
      </w:pPr>
      <w:r>
        <w:rPr>
          <w:rFonts w:hint="eastAsia"/>
          <w:kern w:val="0"/>
          <w:szCs w:val="21"/>
        </w:rPr>
        <w:t>2、采购人根据采购项目的特殊要求规定的特定条件：</w:t>
      </w:r>
    </w:p>
    <w:p>
      <w:pPr>
        <w:spacing w:line="360" w:lineRule="auto"/>
        <w:ind w:firstLine="420" w:firstLineChars="200"/>
        <w:jc w:val="left"/>
        <w:rPr>
          <w:kern w:val="0"/>
        </w:rPr>
      </w:pPr>
      <w:r>
        <w:rPr>
          <w:rFonts w:hint="eastAsia" w:cs="宋体"/>
          <w:kern w:val="0"/>
        </w:rPr>
        <w:t>（</w:t>
      </w:r>
      <w:r>
        <w:rPr>
          <w:kern w:val="0"/>
        </w:rPr>
        <w:t>1</w:t>
      </w:r>
      <w:r>
        <w:rPr>
          <w:rFonts w:hint="eastAsia" w:cs="宋体"/>
          <w:kern w:val="0"/>
        </w:rPr>
        <w:t>）企业须具有</w:t>
      </w:r>
      <w:r>
        <w:rPr>
          <w:rStyle w:val="87"/>
          <w:rFonts w:ascii="宋体" w:hAnsi="宋体"/>
          <w:szCs w:val="21"/>
        </w:rPr>
        <w:t>绿化工程或园林绿化施工</w:t>
      </w:r>
      <w:r>
        <w:rPr>
          <w:rFonts w:hint="eastAsia" w:cs="宋体"/>
          <w:kern w:val="0"/>
        </w:rPr>
        <w:t>等相关经营范围（以营业执照为准）。</w:t>
      </w:r>
    </w:p>
    <w:p>
      <w:pPr>
        <w:spacing w:line="360" w:lineRule="auto"/>
        <w:ind w:firstLine="420" w:firstLineChars="200"/>
        <w:jc w:val="left"/>
        <w:rPr>
          <w:szCs w:val="21"/>
        </w:rPr>
      </w:pPr>
      <w:r>
        <w:rPr>
          <w:kern w:val="0"/>
          <w:szCs w:val="21"/>
        </w:rPr>
        <w:t>3</w:t>
      </w:r>
      <w:r>
        <w:rPr>
          <w:rFonts w:hint="eastAsia"/>
          <w:kern w:val="0"/>
          <w:szCs w:val="21"/>
        </w:rPr>
        <w:t>、本项目不接受联合体投标。</w:t>
      </w:r>
    </w:p>
    <w:bookmarkEnd w:id="4"/>
    <w:bookmarkEnd w:id="7"/>
    <w:p>
      <w:pPr>
        <w:keepNext/>
        <w:keepLines/>
        <w:spacing w:before="260" w:after="260" w:line="413" w:lineRule="auto"/>
        <w:outlineLvl w:val="2"/>
        <w:rPr>
          <w:rFonts w:ascii="Arial" w:hAnsi="Arial"/>
          <w:b/>
          <w:sz w:val="24"/>
        </w:rPr>
      </w:pPr>
      <w:bookmarkStart w:id="8" w:name="_Toc455914603"/>
      <w:r>
        <w:rPr>
          <w:rFonts w:hint="eastAsia"/>
          <w:b/>
          <w:szCs w:val="21"/>
        </w:rPr>
        <w:t>1</w:t>
      </w:r>
      <w:r>
        <w:rPr>
          <w:b/>
          <w:szCs w:val="21"/>
        </w:rPr>
        <w:t>.</w:t>
      </w:r>
      <w:r>
        <w:rPr>
          <w:rFonts w:hint="eastAsia"/>
          <w:b/>
          <w:szCs w:val="21"/>
        </w:rPr>
        <w:t>3投标报名</w:t>
      </w:r>
    </w:p>
    <w:p>
      <w:pPr>
        <w:spacing w:line="360" w:lineRule="auto"/>
        <w:ind w:firstLine="420" w:firstLineChars="200"/>
      </w:pPr>
      <w:r>
        <w:rPr>
          <w:rFonts w:hint="eastAsia"/>
        </w:rPr>
        <w:t>有意投标的投标人请在</w:t>
      </w:r>
      <w:r>
        <w:rPr>
          <w:rFonts w:hint="eastAsia"/>
          <w:color w:val="auto"/>
        </w:rPr>
        <w:t>20</w:t>
      </w:r>
      <w:r>
        <w:rPr>
          <w:color w:val="auto"/>
        </w:rPr>
        <w:t>20</w:t>
      </w:r>
      <w:r>
        <w:rPr>
          <w:rFonts w:hint="eastAsia"/>
          <w:color w:val="auto"/>
        </w:rPr>
        <w:t>年</w:t>
      </w:r>
      <w:r>
        <w:rPr>
          <w:color w:val="auto"/>
        </w:rPr>
        <w:t>3</w:t>
      </w:r>
      <w:r>
        <w:rPr>
          <w:rFonts w:hint="eastAsia"/>
          <w:color w:val="auto"/>
        </w:rPr>
        <w:t>月</w:t>
      </w:r>
      <w:r>
        <w:rPr>
          <w:color w:val="auto"/>
        </w:rPr>
        <w:t>2</w:t>
      </w:r>
      <w:r>
        <w:rPr>
          <w:rFonts w:hint="eastAsia"/>
          <w:color w:val="auto"/>
          <w:lang w:val="en-US" w:eastAsia="zh-CN"/>
        </w:rPr>
        <w:t>5</w:t>
      </w:r>
      <w:r>
        <w:rPr>
          <w:rFonts w:hint="eastAsia"/>
          <w:color w:val="auto"/>
        </w:rPr>
        <w:t>日</w:t>
      </w:r>
      <w:r>
        <w:rPr>
          <w:rFonts w:hint="eastAsia"/>
        </w:rPr>
        <w:t>下午16:00前发送单位名称、联系人、联系电话及项目编号和项目名称到2448775794@qq.com 邮箱中，并在邮件标题中注明“</w:t>
      </w:r>
      <w:r>
        <w:rPr>
          <w:rFonts w:hint="eastAsia"/>
          <w:szCs w:val="21"/>
        </w:rPr>
        <w:t>江苏开放大学新校区树木移栽和养护</w:t>
      </w:r>
      <w:r>
        <w:rPr>
          <w:rFonts w:hint="eastAsia"/>
        </w:rPr>
        <w:t>”。</w:t>
      </w:r>
    </w:p>
    <w:p>
      <w:pPr>
        <w:spacing w:line="360" w:lineRule="auto"/>
        <w:ind w:firstLine="562" w:firstLineChars="200"/>
        <w:rPr>
          <w:rFonts w:asciiTheme="minorEastAsia" w:hAnsiTheme="minorEastAsia" w:eastAsiaTheme="minorEastAsia"/>
          <w:b/>
          <w:bCs/>
          <w:color w:val="FF0000"/>
          <w:sz w:val="28"/>
          <w:szCs w:val="28"/>
        </w:rPr>
      </w:pPr>
      <w:r>
        <w:rPr>
          <w:rFonts w:hint="eastAsia" w:asciiTheme="minorEastAsia" w:hAnsiTheme="minorEastAsia" w:eastAsiaTheme="minorEastAsia"/>
          <w:b/>
          <w:bCs/>
          <w:color w:val="FF0000"/>
          <w:sz w:val="28"/>
          <w:szCs w:val="28"/>
        </w:rPr>
        <w:t>重要提醒：根据学校防疫领导小组对疫情期间外来人员出入学校的规定，投标人在报名时必须提供拟参与本项目投标人（仅限1人）的具体姓名及联系方式，且当天需要通过手机扫码查询本人近14天行程轨迹，没有南京以外的旅行史，可凭本人身份证测温登记核对后进入校园，否则禁止进入校区参加投标。</w:t>
      </w:r>
    </w:p>
    <w:p>
      <w:pPr>
        <w:spacing w:line="360" w:lineRule="auto"/>
        <w:ind w:firstLine="422" w:firstLineChars="200"/>
        <w:rPr>
          <w:rFonts w:hint="eastAsia"/>
          <w:b/>
          <w:bCs/>
        </w:rPr>
      </w:pPr>
      <w:r>
        <w:rPr>
          <w:rFonts w:hint="eastAsia"/>
          <w:b/>
          <w:bCs/>
        </w:rPr>
        <w:t>凡未按要求报名者，学校不接受其投标。</w:t>
      </w:r>
    </w:p>
    <w:p>
      <w:pPr>
        <w:pStyle w:val="5"/>
        <w:rPr>
          <w:rFonts w:ascii="Times New Roman" w:hAnsi="Times New Roman" w:cs="Times New Roman"/>
          <w:sz w:val="21"/>
          <w:szCs w:val="21"/>
        </w:rPr>
      </w:pPr>
      <w:r>
        <w:rPr>
          <w:rFonts w:ascii="Times New Roman" w:hAnsi="Times New Roman" w:cs="Times New Roman"/>
          <w:sz w:val="21"/>
          <w:szCs w:val="21"/>
        </w:rPr>
        <w:t xml:space="preserve">1.4 </w:t>
      </w:r>
      <w:r>
        <w:rPr>
          <w:rFonts w:hint="eastAsia" w:ascii="Times New Roman" w:hAnsi="Times New Roman" w:cs="宋体"/>
          <w:sz w:val="21"/>
          <w:szCs w:val="21"/>
        </w:rPr>
        <w:t>现场勘查</w:t>
      </w:r>
    </w:p>
    <w:p>
      <w:pPr>
        <w:pStyle w:val="16"/>
        <w:spacing w:line="360" w:lineRule="auto"/>
        <w:ind w:firstLine="420" w:firstLineChars="200"/>
        <w:rPr>
          <w:rFonts w:ascii="Times New Roman" w:hAnsi="Times New Roman" w:cs="Times New Roman"/>
        </w:rPr>
      </w:pPr>
      <w:r>
        <w:rPr>
          <w:rFonts w:ascii="Times New Roman" w:hAnsi="Times New Roman" w:cs="Times New Roman"/>
        </w:rPr>
        <w:t>1</w:t>
      </w:r>
      <w:r>
        <w:rPr>
          <w:rFonts w:hint="eastAsia" w:ascii="Times New Roman" w:hAnsi="Times New Roman"/>
        </w:rPr>
        <w:t>、现场勘察说明。</w:t>
      </w:r>
    </w:p>
    <w:p>
      <w:pPr>
        <w:pStyle w:val="16"/>
        <w:spacing w:line="360" w:lineRule="auto"/>
        <w:ind w:firstLine="420" w:firstLineChars="200"/>
        <w:rPr>
          <w:rFonts w:ascii="Times New Roman" w:hAnsi="Times New Roman" w:cs="Times New Roman"/>
        </w:rPr>
      </w:pPr>
      <w:r>
        <w:rPr>
          <w:rFonts w:hint="eastAsia" w:ascii="Times New Roman" w:hAnsi="Times New Roman"/>
        </w:rPr>
        <w:t>投标人可为踏勘目的进入招标人的工程项目现场，但投标人不得因此使招标人承担有关责任和损失，投标人应自行承担踏勘现场的费用、责任和风险。</w:t>
      </w:r>
    </w:p>
    <w:p>
      <w:pPr>
        <w:pStyle w:val="16"/>
        <w:spacing w:line="360" w:lineRule="auto"/>
        <w:ind w:firstLine="420" w:firstLineChars="200"/>
        <w:rPr>
          <w:rFonts w:ascii="Times New Roman" w:hAnsi="Times New Roman" w:cs="Times New Roman"/>
        </w:rPr>
      </w:pPr>
      <w:r>
        <w:rPr>
          <w:rFonts w:hint="eastAsia" w:ascii="Times New Roman" w:hAnsi="Times New Roman"/>
        </w:rPr>
        <w:t>投标人现场勘查时，应充分了解现场情况。现场勘察结束后，应对甲方提供的工程量清单和要求，根据现场实际情况进行核算，如有异议请及时书面向招标人提出。</w:t>
      </w:r>
    </w:p>
    <w:p>
      <w:pPr>
        <w:pStyle w:val="16"/>
        <w:numPr>
          <w:ilvl w:val="0"/>
          <w:numId w:val="5"/>
        </w:numPr>
        <w:spacing w:line="360" w:lineRule="auto"/>
        <w:ind w:firstLine="420" w:firstLineChars="200"/>
        <w:rPr>
          <w:rFonts w:ascii="Times New Roman" w:hAnsi="Times New Roman" w:cs="Times New Roman"/>
        </w:rPr>
      </w:pPr>
      <w:r>
        <w:rPr>
          <w:rFonts w:hint="eastAsia" w:ascii="Times New Roman" w:hAnsi="Times New Roman"/>
        </w:rPr>
        <w:t>由投标人自行现场勘查。</w:t>
      </w:r>
    </w:p>
    <w:p>
      <w:pPr>
        <w:pStyle w:val="16"/>
        <w:spacing w:line="360" w:lineRule="auto"/>
        <w:ind w:firstLine="420" w:firstLineChars="200"/>
        <w:rPr>
          <w:rFonts w:ascii="Times New Roman" w:hAnsi="Times New Roman"/>
        </w:rPr>
      </w:pPr>
      <w:r>
        <w:rPr>
          <w:rFonts w:hint="eastAsia" w:ascii="Times New Roman" w:hAnsi="Times New Roman"/>
        </w:rPr>
        <w:t>请务必对项目现场和周围环境进行仔细认真地查勘，在随后的招标采购项目中，对现场资料和数据所作出的推论、解释和结论及由此造成的后果由供应商负责。未现场勘察和未提出疑义的投标人将被视为已勘察，认同招标项目要求的内容。</w:t>
      </w:r>
    </w:p>
    <w:p>
      <w:pPr>
        <w:pStyle w:val="16"/>
        <w:spacing w:line="360" w:lineRule="auto"/>
        <w:ind w:firstLine="420" w:firstLineChars="200"/>
        <w:rPr>
          <w:rFonts w:ascii="Times New Roman" w:hAnsi="Times New Roman"/>
        </w:rPr>
      </w:pPr>
      <w:r>
        <w:rPr>
          <w:rFonts w:hint="eastAsia" w:ascii="Times New Roman" w:hAnsi="Times New Roman"/>
        </w:rPr>
        <w:t>联系人：</w:t>
      </w:r>
      <w:r>
        <w:rPr>
          <w:rFonts w:hint="eastAsia" w:ascii="Times New Roman" w:hAnsi="Times New Roman"/>
          <w:lang w:eastAsia="zh-CN"/>
        </w:rPr>
        <w:t>龚</w:t>
      </w:r>
      <w:r>
        <w:rPr>
          <w:rFonts w:hint="eastAsia" w:ascii="Times New Roman" w:hAnsi="Times New Roman"/>
        </w:rPr>
        <w:t>老师</w:t>
      </w:r>
    </w:p>
    <w:p>
      <w:pPr>
        <w:pStyle w:val="16"/>
        <w:spacing w:line="360" w:lineRule="auto"/>
        <w:ind w:firstLine="420" w:firstLineChars="200"/>
        <w:rPr>
          <w:rFonts w:hint="eastAsia" w:ascii="Times New Roman" w:hAnsi="Times New Roman"/>
        </w:rPr>
      </w:pPr>
      <w:r>
        <w:rPr>
          <w:rFonts w:hint="eastAsia" w:ascii="Times New Roman" w:hAnsi="Times New Roman"/>
        </w:rPr>
        <w:t xml:space="preserve">联系电话：15358159319 </w:t>
      </w:r>
    </w:p>
    <w:p>
      <w:pPr>
        <w:keepNext/>
        <w:keepLines/>
        <w:spacing w:before="260" w:after="260" w:line="413" w:lineRule="auto"/>
        <w:outlineLvl w:val="2"/>
        <w:rPr>
          <w:b/>
          <w:szCs w:val="21"/>
        </w:rPr>
      </w:pPr>
      <w:bookmarkStart w:id="9" w:name="_Toc455914599"/>
      <w:r>
        <w:rPr>
          <w:b/>
          <w:szCs w:val="21"/>
        </w:rPr>
        <w:t>1.</w:t>
      </w:r>
      <w:r>
        <w:rPr>
          <w:rFonts w:hint="eastAsia"/>
          <w:b/>
          <w:szCs w:val="21"/>
          <w:lang w:val="en-US" w:eastAsia="zh-CN"/>
        </w:rPr>
        <w:t>5</w:t>
      </w:r>
      <w:r>
        <w:rPr>
          <w:b/>
          <w:szCs w:val="21"/>
        </w:rPr>
        <w:t>招标文件获取</w:t>
      </w:r>
      <w:bookmarkEnd w:id="9"/>
    </w:p>
    <w:p>
      <w:pPr>
        <w:widowControl/>
        <w:spacing w:line="360" w:lineRule="auto"/>
        <w:ind w:firstLine="482"/>
        <w:jc w:val="left"/>
        <w:rPr>
          <w:rFonts w:ascii="宋体" w:hAnsi="宋体" w:cs="宋体"/>
          <w:kern w:val="0"/>
          <w:sz w:val="24"/>
        </w:rPr>
      </w:pPr>
      <w:r>
        <w:rPr>
          <w:kern w:val="0"/>
          <w:szCs w:val="21"/>
        </w:rPr>
        <w:t>即日起，投标人可至</w:t>
      </w:r>
      <w:r>
        <w:rPr>
          <w:rFonts w:hint="eastAsia"/>
          <w:kern w:val="0"/>
          <w:szCs w:val="21"/>
        </w:rPr>
        <w:t>江苏开放大学首页下方（http://www.jsou.cn/）</w:t>
      </w:r>
      <w:r>
        <w:rPr>
          <w:kern w:val="0"/>
          <w:szCs w:val="21"/>
        </w:rPr>
        <w:t>“</w:t>
      </w:r>
      <w:r>
        <w:rPr>
          <w:rFonts w:hint="eastAsia"/>
          <w:kern w:val="0"/>
          <w:szCs w:val="21"/>
        </w:rPr>
        <w:t>招标</w:t>
      </w:r>
      <w:r>
        <w:rPr>
          <w:kern w:val="0"/>
          <w:szCs w:val="21"/>
        </w:rPr>
        <w:t>公告”栏的</w:t>
      </w:r>
      <w:r>
        <w:rPr>
          <w:rFonts w:hint="eastAsia"/>
          <w:kern w:val="0"/>
          <w:szCs w:val="21"/>
        </w:rPr>
        <w:t>招标</w:t>
      </w:r>
      <w:r>
        <w:rPr>
          <w:kern w:val="0"/>
          <w:szCs w:val="21"/>
        </w:rPr>
        <w:t>公告中自行下载。</w:t>
      </w:r>
    </w:p>
    <w:p>
      <w:pPr>
        <w:keepNext/>
        <w:keepLines/>
        <w:spacing w:before="260" w:after="260" w:line="413" w:lineRule="auto"/>
        <w:outlineLvl w:val="2"/>
        <w:rPr>
          <w:b/>
          <w:szCs w:val="21"/>
        </w:rPr>
      </w:pPr>
      <w:bookmarkStart w:id="10" w:name="_Toc455914600"/>
      <w:r>
        <w:rPr>
          <w:b/>
          <w:szCs w:val="21"/>
        </w:rPr>
        <w:t>1.</w:t>
      </w:r>
      <w:r>
        <w:rPr>
          <w:rFonts w:hint="eastAsia"/>
          <w:b/>
          <w:szCs w:val="21"/>
          <w:lang w:val="en-US" w:eastAsia="zh-CN"/>
        </w:rPr>
        <w:t>6</w:t>
      </w:r>
      <w:r>
        <w:rPr>
          <w:b/>
          <w:szCs w:val="21"/>
        </w:rPr>
        <w:t>投标文件递交</w:t>
      </w:r>
      <w:bookmarkEnd w:id="10"/>
    </w:p>
    <w:p>
      <w:pPr>
        <w:widowControl/>
        <w:spacing w:line="360" w:lineRule="auto"/>
        <w:ind w:firstLine="482"/>
        <w:jc w:val="left"/>
        <w:rPr>
          <w:kern w:val="0"/>
          <w:szCs w:val="21"/>
        </w:rPr>
      </w:pPr>
      <w:r>
        <w:rPr>
          <w:kern w:val="0"/>
          <w:szCs w:val="21"/>
        </w:rPr>
        <w:t>截止时间</w:t>
      </w:r>
      <w:r>
        <w:rPr>
          <w:rFonts w:hint="eastAsia"/>
          <w:kern w:val="0"/>
          <w:szCs w:val="21"/>
        </w:rPr>
        <w:t>：</w:t>
      </w:r>
      <w:r>
        <w:rPr>
          <w:rFonts w:hint="eastAsia"/>
          <w:color w:val="auto"/>
          <w:kern w:val="0"/>
          <w:szCs w:val="21"/>
        </w:rPr>
        <w:t>20</w:t>
      </w:r>
      <w:r>
        <w:rPr>
          <w:color w:val="auto"/>
          <w:kern w:val="0"/>
          <w:szCs w:val="21"/>
        </w:rPr>
        <w:t>20</w:t>
      </w:r>
      <w:r>
        <w:rPr>
          <w:rFonts w:hint="eastAsia"/>
          <w:color w:val="auto"/>
          <w:kern w:val="0"/>
          <w:szCs w:val="21"/>
        </w:rPr>
        <w:t>年</w:t>
      </w:r>
      <w:r>
        <w:rPr>
          <w:color w:val="auto"/>
          <w:kern w:val="0"/>
          <w:szCs w:val="21"/>
        </w:rPr>
        <w:t>3</w:t>
      </w:r>
      <w:r>
        <w:rPr>
          <w:rFonts w:hint="eastAsia"/>
          <w:color w:val="auto"/>
          <w:kern w:val="0"/>
          <w:szCs w:val="21"/>
        </w:rPr>
        <w:t>月</w:t>
      </w:r>
      <w:r>
        <w:rPr>
          <w:color w:val="auto"/>
          <w:kern w:val="0"/>
          <w:szCs w:val="21"/>
        </w:rPr>
        <w:t>2</w:t>
      </w:r>
      <w:r>
        <w:rPr>
          <w:rFonts w:hint="eastAsia"/>
          <w:color w:val="auto"/>
          <w:kern w:val="0"/>
          <w:szCs w:val="21"/>
          <w:lang w:val="en-US" w:eastAsia="zh-CN"/>
        </w:rPr>
        <w:t>6</w:t>
      </w:r>
      <w:r>
        <w:rPr>
          <w:rFonts w:hint="eastAsia"/>
          <w:color w:val="auto"/>
          <w:kern w:val="0"/>
          <w:szCs w:val="21"/>
        </w:rPr>
        <w:t>日下</w:t>
      </w:r>
      <w:r>
        <w:rPr>
          <w:rFonts w:hint="eastAsia"/>
          <w:kern w:val="0"/>
          <w:szCs w:val="21"/>
        </w:rPr>
        <w:t>午14:30。</w:t>
      </w:r>
    </w:p>
    <w:p>
      <w:pPr>
        <w:widowControl/>
        <w:spacing w:line="360" w:lineRule="auto"/>
        <w:ind w:firstLine="482"/>
        <w:jc w:val="left"/>
        <w:rPr>
          <w:kern w:val="0"/>
          <w:szCs w:val="21"/>
        </w:rPr>
      </w:pPr>
      <w:r>
        <w:rPr>
          <w:kern w:val="0"/>
          <w:szCs w:val="21"/>
        </w:rPr>
        <w:t>递交地点：</w:t>
      </w:r>
      <w:bookmarkStart w:id="11" w:name="_Toc455914601"/>
      <w:r>
        <w:rPr>
          <w:rFonts w:hint="eastAsia"/>
          <w:kern w:val="0"/>
          <w:szCs w:val="21"/>
        </w:rPr>
        <w:t>南京市鼓楼区江东北路399号（江东北路与定淮门大街交叉口西南角）江苏开放大学 办公楼713会议室。</w:t>
      </w:r>
    </w:p>
    <w:p>
      <w:pPr>
        <w:spacing w:line="360" w:lineRule="auto"/>
        <w:ind w:firstLine="562" w:firstLineChars="200"/>
        <w:rPr>
          <w:rFonts w:hint="eastAsia"/>
          <w:kern w:val="0"/>
          <w:szCs w:val="21"/>
        </w:rPr>
      </w:pPr>
      <w:r>
        <w:rPr>
          <w:rFonts w:hint="eastAsia" w:asciiTheme="minorEastAsia" w:hAnsiTheme="minorEastAsia" w:eastAsiaTheme="minorEastAsia"/>
          <w:b/>
          <w:bCs/>
          <w:color w:val="FF0000"/>
          <w:sz w:val="28"/>
          <w:szCs w:val="28"/>
        </w:rPr>
        <w:t>重要提醒：根据学校防疫领导小组对疫情期间外来人员出入学校的规定，投标人在报名时必须提供拟参与本项目投标人（仅限1人）的具体姓名及联系方式，且当天需要通过手机扫码查询本人近14天行程轨迹，没有南京以外的旅行史，可凭本人身份证测温登记核对后进入校园，否则禁止进入校区参加投标。</w:t>
      </w:r>
    </w:p>
    <w:p>
      <w:pPr>
        <w:keepNext/>
        <w:keepLines/>
        <w:spacing w:before="260" w:after="260" w:line="413" w:lineRule="auto"/>
        <w:outlineLvl w:val="2"/>
        <w:rPr>
          <w:b/>
          <w:szCs w:val="21"/>
        </w:rPr>
      </w:pPr>
      <w:r>
        <w:rPr>
          <w:b/>
          <w:szCs w:val="21"/>
        </w:rPr>
        <w:t>1.</w:t>
      </w:r>
      <w:r>
        <w:rPr>
          <w:rFonts w:hint="eastAsia"/>
          <w:b/>
          <w:szCs w:val="21"/>
          <w:lang w:val="en-US" w:eastAsia="zh-CN"/>
        </w:rPr>
        <w:t>7</w:t>
      </w:r>
      <w:r>
        <w:rPr>
          <w:b/>
          <w:szCs w:val="21"/>
        </w:rPr>
        <w:t>开标时间及地点</w:t>
      </w:r>
      <w:bookmarkEnd w:id="11"/>
    </w:p>
    <w:p>
      <w:pPr>
        <w:widowControl/>
        <w:spacing w:line="360" w:lineRule="auto"/>
        <w:ind w:firstLine="482"/>
        <w:jc w:val="left"/>
        <w:rPr>
          <w:kern w:val="0"/>
          <w:szCs w:val="21"/>
        </w:rPr>
      </w:pPr>
      <w:r>
        <w:rPr>
          <w:kern w:val="0"/>
          <w:szCs w:val="21"/>
        </w:rPr>
        <w:t>开标时间：</w:t>
      </w:r>
      <w:r>
        <w:rPr>
          <w:rFonts w:hint="eastAsia"/>
          <w:kern w:val="0"/>
          <w:szCs w:val="21"/>
        </w:rPr>
        <w:t>20</w:t>
      </w:r>
      <w:r>
        <w:rPr>
          <w:kern w:val="0"/>
          <w:szCs w:val="21"/>
        </w:rPr>
        <w:t>20</w:t>
      </w:r>
      <w:r>
        <w:rPr>
          <w:rFonts w:hint="eastAsia"/>
          <w:kern w:val="0"/>
          <w:szCs w:val="21"/>
        </w:rPr>
        <w:t>年</w:t>
      </w:r>
      <w:r>
        <w:rPr>
          <w:kern w:val="0"/>
          <w:szCs w:val="21"/>
        </w:rPr>
        <w:t>3</w:t>
      </w:r>
      <w:r>
        <w:rPr>
          <w:rFonts w:hint="eastAsia"/>
          <w:kern w:val="0"/>
          <w:szCs w:val="21"/>
        </w:rPr>
        <w:t>月</w:t>
      </w:r>
      <w:r>
        <w:rPr>
          <w:kern w:val="0"/>
          <w:szCs w:val="21"/>
        </w:rPr>
        <w:t>2</w:t>
      </w:r>
      <w:r>
        <w:rPr>
          <w:rFonts w:hint="eastAsia"/>
          <w:kern w:val="0"/>
          <w:szCs w:val="21"/>
          <w:lang w:val="en-US" w:eastAsia="zh-CN"/>
        </w:rPr>
        <w:t>6</w:t>
      </w:r>
      <w:r>
        <w:rPr>
          <w:rFonts w:hint="eastAsia"/>
          <w:kern w:val="0"/>
          <w:szCs w:val="21"/>
        </w:rPr>
        <w:t>日下午14:30。</w:t>
      </w:r>
    </w:p>
    <w:p>
      <w:pPr>
        <w:widowControl/>
        <w:spacing w:line="360" w:lineRule="auto"/>
        <w:ind w:firstLine="482"/>
        <w:jc w:val="left"/>
        <w:rPr>
          <w:kern w:val="0"/>
          <w:szCs w:val="21"/>
        </w:rPr>
      </w:pPr>
      <w:r>
        <w:rPr>
          <w:kern w:val="0"/>
          <w:szCs w:val="21"/>
        </w:rPr>
        <w:t>开标地点：</w:t>
      </w:r>
      <w:r>
        <w:rPr>
          <w:rFonts w:hint="eastAsia"/>
          <w:kern w:val="0"/>
          <w:szCs w:val="21"/>
        </w:rPr>
        <w:t>南京市鼓楼区江东北路399号（江东北路与定淮门大街交叉口西南角）江苏开放大学 办公楼713会议室。</w:t>
      </w:r>
    </w:p>
    <w:p>
      <w:pPr>
        <w:keepNext/>
        <w:keepLines/>
        <w:spacing w:before="260" w:after="260" w:line="413" w:lineRule="auto"/>
        <w:outlineLvl w:val="2"/>
        <w:rPr>
          <w:b/>
          <w:szCs w:val="21"/>
        </w:rPr>
      </w:pPr>
      <w:bookmarkStart w:id="12" w:name="_Toc455914602"/>
      <w:r>
        <w:rPr>
          <w:b/>
          <w:szCs w:val="21"/>
        </w:rPr>
        <w:t>1.</w:t>
      </w:r>
      <w:r>
        <w:rPr>
          <w:rFonts w:hint="eastAsia"/>
          <w:b/>
          <w:szCs w:val="21"/>
          <w:lang w:val="en-US" w:eastAsia="zh-CN"/>
        </w:rPr>
        <w:t>8</w:t>
      </w:r>
      <w:r>
        <w:rPr>
          <w:b/>
          <w:szCs w:val="21"/>
        </w:rPr>
        <w:t>发布公告媒介</w:t>
      </w:r>
      <w:bookmarkEnd w:id="12"/>
    </w:p>
    <w:p>
      <w:pPr>
        <w:spacing w:line="360" w:lineRule="auto"/>
        <w:ind w:firstLine="420" w:firstLineChars="200"/>
        <w:rPr>
          <w:b/>
        </w:rPr>
      </w:pPr>
      <w:r>
        <w:rPr>
          <w:rFonts w:hint="eastAsia"/>
        </w:rPr>
        <w:t>有关本次采购事务若存在变动和修改，敬请持续关注江苏开放大学首页下方（http://www.jsou.cn/）“招标公告”栏。</w:t>
      </w:r>
    </w:p>
    <w:p>
      <w:pPr>
        <w:pStyle w:val="5"/>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lang w:val="en-US" w:eastAsia="zh-CN"/>
        </w:rPr>
        <w:t>9</w:t>
      </w:r>
      <w:r>
        <w:rPr>
          <w:rFonts w:ascii="Times New Roman" w:hAnsi="Times New Roman"/>
          <w:sz w:val="21"/>
          <w:szCs w:val="21"/>
        </w:rPr>
        <w:t>联系方式</w:t>
      </w:r>
      <w:bookmarkEnd w:id="8"/>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联系人：龚老师</w:t>
      </w:r>
    </w:p>
    <w:p>
      <w:pPr>
        <w:widowControl/>
        <w:ind w:firstLine="420" w:firstLineChars="200"/>
        <w:jc w:val="left"/>
        <w:rPr>
          <w:color w:val="auto"/>
          <w:szCs w:val="21"/>
        </w:rPr>
      </w:pPr>
      <w:r>
        <w:rPr>
          <w:color w:val="auto"/>
          <w:szCs w:val="21"/>
        </w:rPr>
        <w:t>联系电话：</w:t>
      </w:r>
      <w:r>
        <w:rPr>
          <w:color w:val="auto"/>
          <w:kern w:val="0"/>
          <w:sz w:val="24"/>
          <w:lang w:bidi="ar"/>
        </w:rPr>
        <w:t xml:space="preserve">15358159319 </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w:t>
      </w:r>
      <w:r>
        <w:rPr>
          <w:rFonts w:ascii="Times New Roman" w:hAnsi="Times New Roman" w:cs="Times New Roman"/>
          <w:sz w:val="21"/>
          <w:szCs w:val="21"/>
        </w:rPr>
        <w:t>707室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3" w:name="_Toc455914604"/>
      <w:r>
        <w:rPr>
          <w:rFonts w:ascii="Times New Roman" w:hAnsi="Times New Roman" w:eastAsia="楷体"/>
          <w:sz w:val="44"/>
        </w:rPr>
        <w:t>第二部分</w:t>
      </w:r>
      <w:r>
        <w:rPr>
          <w:rFonts w:hint="eastAsia" w:ascii="Times New Roman" w:hAnsi="Times New Roman" w:eastAsia="楷体"/>
          <w:sz w:val="44"/>
        </w:rPr>
        <w:t xml:space="preserve">  </w:t>
      </w:r>
      <w:r>
        <w:rPr>
          <w:rFonts w:ascii="Times New Roman" w:hAnsi="Times New Roman" w:eastAsia="楷体"/>
          <w:sz w:val="44"/>
        </w:rPr>
        <w:t>投标人须知</w:t>
      </w:r>
      <w:bookmarkEnd w:id="13"/>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4" w:name="_Toc386980211"/>
      <w:bookmarkStart w:id="15" w:name="_Toc455914605"/>
      <w:bookmarkStart w:id="16" w:name="_Toc384844734"/>
      <w:r>
        <w:rPr>
          <w:rFonts w:ascii="Times New Roman" w:hAnsi="Times New Roman"/>
          <w:sz w:val="21"/>
          <w:szCs w:val="21"/>
        </w:rPr>
        <w:t>2.1 总则</w:t>
      </w:r>
      <w:bookmarkEnd w:id="14"/>
      <w:bookmarkEnd w:id="15"/>
      <w:bookmarkEnd w:id="16"/>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7"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7"/>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numPr>
          <w:ilvl w:val="0"/>
          <w:numId w:val="6"/>
        </w:numPr>
        <w:spacing w:line="360" w:lineRule="auto"/>
        <w:ind w:firstLine="420" w:firstLineChars="200"/>
        <w:rPr>
          <w:rFonts w:ascii="Times New Roman" w:hAnsi="Times New Roman"/>
          <w:szCs w:val="21"/>
        </w:rPr>
      </w:pPr>
      <w:r>
        <w:rPr>
          <w:rFonts w:ascii="Times New Roman" w:hAnsi="Times New Roman"/>
          <w:szCs w:val="21"/>
        </w:rPr>
        <w:t>投标函</w:t>
      </w:r>
      <w:r>
        <w:rPr>
          <w:rFonts w:hint="eastAsia" w:ascii="Times New Roman" w:hAnsi="Times New Roman"/>
          <w:szCs w:val="21"/>
        </w:rPr>
        <w:t>及开标一览表</w:t>
      </w:r>
    </w:p>
    <w:p>
      <w:pPr>
        <w:pStyle w:val="16"/>
        <w:numPr>
          <w:ilvl w:val="0"/>
          <w:numId w:val="6"/>
        </w:numPr>
        <w:spacing w:line="360" w:lineRule="auto"/>
        <w:ind w:firstLine="420" w:firstLineChars="200"/>
        <w:rPr>
          <w:rFonts w:ascii="Times New Roman" w:hAnsi="Times New Roman"/>
          <w:szCs w:val="21"/>
        </w:rPr>
      </w:pPr>
      <w:r>
        <w:rPr>
          <w:rFonts w:hint="eastAsia" w:ascii="Times New Roman" w:hAnsi="Times New Roman"/>
          <w:szCs w:val="21"/>
        </w:rPr>
        <w:t>法定代表人资格证明书或授权委托书</w:t>
      </w: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设备材料清单及</w:t>
      </w:r>
      <w:r>
        <w:rPr>
          <w:rFonts w:ascii="Times New Roman" w:hAnsi="Times New Roman"/>
          <w:szCs w:val="21"/>
        </w:rPr>
        <w:t>投标报价</w:t>
      </w:r>
      <w:r>
        <w:rPr>
          <w:rFonts w:hint="eastAsia" w:ascii="Times New Roman" w:hAnsi="Times New Roman"/>
          <w:szCs w:val="21"/>
        </w:rPr>
        <w:t>明细</w:t>
      </w:r>
      <w:r>
        <w:rPr>
          <w:rFonts w:ascii="Times New Roman" w:hAnsi="Times New Roman"/>
          <w:szCs w:val="21"/>
        </w:rPr>
        <w:t>表</w:t>
      </w:r>
    </w:p>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、产品质保及服务承诺书</w:t>
      </w:r>
    </w:p>
    <w:p>
      <w:pPr>
        <w:pStyle w:val="16"/>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6、企业相关业绩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3、投标文件应装订成册（胶封），列出目录并逐页标注页码。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8"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8"/>
    </w:p>
    <w:p>
      <w:pPr>
        <w:pStyle w:val="16"/>
        <w:spacing w:line="360" w:lineRule="auto"/>
        <w:ind w:firstLine="420" w:firstLineChars="200"/>
        <w:rPr>
          <w:rFonts w:ascii="Times New Roman" w:hAnsi="Times New Roman"/>
          <w:szCs w:val="21"/>
        </w:rPr>
      </w:pPr>
      <w:bookmarkStart w:id="19" w:name="_Toc384844736"/>
      <w:bookmarkStart w:id="20" w:name="_Toc455914608"/>
      <w:bookmarkStart w:id="21" w:name="_Toc386980213"/>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bookmarkEnd w:id="19"/>
    <w:bookmarkEnd w:id="20"/>
    <w:bookmarkEnd w:id="21"/>
    <w:p>
      <w:pPr>
        <w:pStyle w:val="5"/>
        <w:rPr>
          <w:rFonts w:ascii="Times New Roman" w:hAnsi="Times New Roman"/>
          <w:sz w:val="21"/>
          <w:szCs w:val="21"/>
        </w:rPr>
      </w:pPr>
      <w:bookmarkStart w:id="22" w:name="_Toc455914609"/>
      <w:bookmarkStart w:id="23" w:name="_Toc386980214"/>
      <w:bookmarkStart w:id="24" w:name="_Toc384844737"/>
      <w:r>
        <w:rPr>
          <w:rFonts w:hint="eastAsia" w:ascii="Times New Roman" w:hAnsi="Times New Roman"/>
          <w:sz w:val="21"/>
          <w:szCs w:val="21"/>
        </w:rPr>
        <w:t>2.4评标与定标</w:t>
      </w:r>
      <w:bookmarkEnd w:id="22"/>
      <w:bookmarkEnd w:id="23"/>
      <w:bookmarkEnd w:id="24"/>
    </w:p>
    <w:p>
      <w:pPr>
        <w:pStyle w:val="16"/>
        <w:spacing w:line="360" w:lineRule="auto"/>
        <w:ind w:firstLine="420" w:firstLineChars="200"/>
        <w:rPr>
          <w:rFonts w:ascii="Times New Roman" w:hAnsi="Times New Roman"/>
          <w:szCs w:val="21"/>
        </w:rPr>
      </w:pPr>
      <w:r>
        <w:rPr>
          <w:rFonts w:hint="eastAsia" w:ascii="Times New Roman" w:hAnsi="Times New Roman"/>
          <w:szCs w:val="21"/>
        </w:rPr>
        <w:t xml:space="preserve">1、本项目采用 </w:t>
      </w:r>
      <w:r>
        <w:rPr>
          <w:rFonts w:hint="eastAsia" w:ascii="Times New Roman" w:hAnsi="Times New Roman"/>
          <w:szCs w:val="21"/>
          <w:u w:val="single"/>
        </w:rPr>
        <w:t>资格后审</w:t>
      </w:r>
      <w:r>
        <w:rPr>
          <w:rFonts w:hint="eastAsia" w:ascii="Times New Roman" w:hAnsi="Times New Roman"/>
          <w:szCs w:val="21"/>
        </w:rPr>
        <w:t>。</w:t>
      </w:r>
    </w:p>
    <w:p>
      <w:pPr>
        <w:pStyle w:val="16"/>
        <w:spacing w:line="360" w:lineRule="auto"/>
        <w:ind w:firstLine="420" w:firstLineChars="200"/>
        <w:rPr>
          <w:rFonts w:ascii="Times New Roman" w:hAnsi="Times New Roman"/>
          <w:szCs w:val="21"/>
        </w:rPr>
      </w:pPr>
      <w:r>
        <w:rPr>
          <w:rFonts w:hint="eastAsia" w:ascii="Times New Roman" w:hAnsi="Times New Roman"/>
          <w:szCs w:val="21"/>
        </w:rPr>
        <w:t>经过资格审查，应有三家（含）以上合格投标人。</w:t>
      </w:r>
    </w:p>
    <w:p>
      <w:pPr>
        <w:pStyle w:val="16"/>
        <w:spacing w:line="360" w:lineRule="auto"/>
        <w:ind w:firstLine="420" w:firstLineChars="200"/>
        <w:rPr>
          <w:rFonts w:ascii="Times New Roman" w:hAnsi="Times New Roman"/>
          <w:szCs w:val="21"/>
        </w:rPr>
      </w:pPr>
      <w:r>
        <w:rPr>
          <w:rFonts w:hint="eastAsia" w:ascii="Times New Roman" w:hAnsi="Times New Roman"/>
          <w:szCs w:val="21"/>
        </w:rPr>
        <w:t>2、</w:t>
      </w:r>
      <w:r>
        <w:rPr>
          <w:rFonts w:hint="eastAsia" w:ascii="Times New Roman" w:hAnsi="Times New Roman"/>
          <w:bCs/>
          <w:szCs w:val="21"/>
        </w:rPr>
        <w:t>评标工作小组根据评分规则对投标人进行综合评分，得分最高者中标。对未中标人，将不作任何解释，标书不退回。</w:t>
      </w:r>
    </w:p>
    <w:p>
      <w:pPr>
        <w:pStyle w:val="16"/>
        <w:spacing w:line="360" w:lineRule="auto"/>
        <w:ind w:firstLine="420" w:firstLineChars="200"/>
        <w:rPr>
          <w:rFonts w:ascii="Times New Roman" w:hAnsi="Times New Roman"/>
          <w:szCs w:val="21"/>
        </w:rPr>
      </w:pPr>
      <w:r>
        <w:rPr>
          <w:rFonts w:hint="eastAsia" w:ascii="Times New Roman" w:hAnsi="Times New Roman"/>
          <w:szCs w:val="21"/>
        </w:rPr>
        <w:t xml:space="preserve">3、本次招标采用 </w:t>
      </w:r>
      <w:r>
        <w:rPr>
          <w:rFonts w:hint="eastAsia" w:ascii="Times New Roman" w:hAnsi="Times New Roman"/>
          <w:szCs w:val="21"/>
          <w:u w:val="single"/>
        </w:rPr>
        <w:t xml:space="preserve">综合评分法 </w:t>
      </w:r>
      <w:r>
        <w:rPr>
          <w:rFonts w:hint="eastAsia" w:ascii="Times New Roman" w:hAnsi="Times New Roman"/>
          <w:szCs w:val="21"/>
        </w:rPr>
        <w:t>，采用百分制打分，得分最高者为第一中标候选人。</w:t>
      </w:r>
    </w:p>
    <w:p>
      <w:pPr>
        <w:pStyle w:val="16"/>
        <w:spacing w:line="360" w:lineRule="auto"/>
        <w:ind w:firstLine="420" w:firstLineChars="200"/>
        <w:rPr>
          <w:rStyle w:val="87"/>
          <w:rFonts w:hAnsi="宋体" w:cs="宋体"/>
          <w:b/>
          <w:bCs/>
        </w:rPr>
      </w:pPr>
      <w:r>
        <w:rPr>
          <w:rFonts w:hint="eastAsia" w:ascii="Times New Roman" w:hAnsi="Times New Roman"/>
          <w:szCs w:val="21"/>
        </w:rPr>
        <w:t>4、评分规则：</w:t>
      </w:r>
    </w:p>
    <w:tbl>
      <w:tblPr>
        <w:tblStyle w:val="30"/>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850"/>
        <w:gridCol w:w="723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851" w:type="dxa"/>
            <w:shd w:val="clear" w:color="auto" w:fill="auto"/>
            <w:vAlign w:val="center"/>
          </w:tcPr>
          <w:p>
            <w:pPr>
              <w:spacing w:line="360" w:lineRule="auto"/>
              <w:jc w:val="center"/>
              <w:rPr>
                <w:rFonts w:ascii="宋体" w:hAnsi="宋体"/>
                <w:b/>
                <w:szCs w:val="21"/>
              </w:rPr>
            </w:pPr>
            <w:r>
              <w:rPr>
                <w:rFonts w:hint="eastAsia" w:ascii="宋体" w:hAnsi="宋体"/>
                <w:b/>
                <w:szCs w:val="21"/>
              </w:rPr>
              <w:t>序号</w:t>
            </w:r>
          </w:p>
        </w:tc>
        <w:tc>
          <w:tcPr>
            <w:tcW w:w="850" w:type="dxa"/>
            <w:shd w:val="clear" w:color="auto" w:fill="auto"/>
            <w:vAlign w:val="center"/>
          </w:tcPr>
          <w:p>
            <w:pPr>
              <w:spacing w:line="360" w:lineRule="auto"/>
              <w:jc w:val="center"/>
              <w:rPr>
                <w:rFonts w:ascii="宋体" w:hAnsi="宋体"/>
                <w:b/>
                <w:szCs w:val="21"/>
              </w:rPr>
            </w:pPr>
            <w:r>
              <w:rPr>
                <w:rFonts w:hint="eastAsia" w:ascii="宋体" w:hAnsi="宋体"/>
                <w:b/>
                <w:szCs w:val="21"/>
              </w:rPr>
              <w:t>评分 因数</w:t>
            </w:r>
          </w:p>
        </w:tc>
        <w:tc>
          <w:tcPr>
            <w:tcW w:w="7230" w:type="dxa"/>
            <w:shd w:val="clear" w:color="auto" w:fill="auto"/>
            <w:vAlign w:val="center"/>
          </w:tcPr>
          <w:p>
            <w:pPr>
              <w:spacing w:line="360" w:lineRule="auto"/>
              <w:ind w:firstLine="422" w:firstLineChars="200"/>
              <w:jc w:val="center"/>
              <w:rPr>
                <w:rFonts w:ascii="宋体" w:hAnsi="宋体"/>
                <w:b/>
                <w:szCs w:val="21"/>
              </w:rPr>
            </w:pPr>
            <w:r>
              <w:rPr>
                <w:rFonts w:hint="eastAsia" w:ascii="宋体" w:hAnsi="宋体"/>
                <w:b/>
                <w:szCs w:val="21"/>
              </w:rPr>
              <w:t>评审标准</w:t>
            </w:r>
          </w:p>
        </w:tc>
        <w:tc>
          <w:tcPr>
            <w:tcW w:w="850" w:type="dxa"/>
            <w:shd w:val="clear" w:color="auto" w:fill="auto"/>
            <w:vAlign w:val="center"/>
          </w:tcPr>
          <w:p>
            <w:pPr>
              <w:spacing w:line="360" w:lineRule="auto"/>
              <w:jc w:val="center"/>
              <w:rPr>
                <w:rFonts w:ascii="宋体" w:hAnsi="宋体"/>
                <w:b/>
                <w:szCs w:val="21"/>
              </w:rPr>
            </w:pPr>
            <w:r>
              <w:rPr>
                <w:rFonts w:hint="eastAsia" w:ascii="宋体" w:hAnsi="宋体"/>
                <w:b/>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851" w:type="dxa"/>
            <w:shd w:val="clear" w:color="auto" w:fill="auto"/>
            <w:vAlign w:val="center"/>
          </w:tcPr>
          <w:p>
            <w:pPr>
              <w:spacing w:line="360" w:lineRule="auto"/>
              <w:jc w:val="center"/>
              <w:rPr>
                <w:rFonts w:ascii="宋体" w:hAnsi="宋体"/>
                <w:szCs w:val="21"/>
              </w:rPr>
            </w:pPr>
            <w:r>
              <w:rPr>
                <w:rFonts w:hint="eastAsia" w:ascii="宋体" w:hAnsi="宋体"/>
                <w:szCs w:val="21"/>
              </w:rPr>
              <w:t>1</w:t>
            </w:r>
          </w:p>
        </w:tc>
        <w:tc>
          <w:tcPr>
            <w:tcW w:w="850" w:type="dxa"/>
            <w:shd w:val="clear" w:color="auto" w:fill="auto"/>
            <w:vAlign w:val="center"/>
          </w:tcPr>
          <w:p>
            <w:pPr>
              <w:spacing w:line="360" w:lineRule="auto"/>
              <w:jc w:val="center"/>
              <w:rPr>
                <w:rFonts w:ascii="宋体" w:hAnsi="宋体"/>
                <w:szCs w:val="21"/>
              </w:rPr>
            </w:pPr>
            <w:r>
              <w:rPr>
                <w:rFonts w:hint="eastAsia" w:ascii="宋体" w:hAnsi="宋体"/>
                <w:szCs w:val="21"/>
              </w:rPr>
              <w:t>价格</w:t>
            </w:r>
          </w:p>
        </w:tc>
        <w:tc>
          <w:tcPr>
            <w:tcW w:w="7230" w:type="dxa"/>
            <w:shd w:val="clear" w:color="auto" w:fill="auto"/>
            <w:vAlign w:val="center"/>
          </w:tcPr>
          <w:p>
            <w:pPr>
              <w:spacing w:line="360" w:lineRule="auto"/>
              <w:ind w:firstLine="420" w:firstLineChars="200"/>
              <w:jc w:val="left"/>
              <w:rPr>
                <w:rFonts w:hint="eastAsia" w:ascii="宋体" w:hAnsi="宋体" w:eastAsia="宋体"/>
                <w:szCs w:val="21"/>
                <w:lang w:val="en-US" w:eastAsia="zh-CN"/>
              </w:rPr>
            </w:pPr>
            <w:r>
              <w:rPr>
                <w:rFonts w:hint="eastAsia" w:ascii="宋体" w:hAnsi="宋体"/>
                <w:szCs w:val="21"/>
              </w:rPr>
              <w:t>评分采用低价优先方法，即满足招标文件要求的最低价的报价为评标基准价，其价格分为满分，其他供应商的价格分按照下列公式计算（小数点保留两位）：投标报价得分=（评标基准价/投标报价）×30</w:t>
            </w:r>
            <w:r>
              <w:rPr>
                <w:rFonts w:hint="eastAsia" w:ascii="宋体" w:hAnsi="宋体"/>
                <w:szCs w:val="21"/>
                <w:lang w:eastAsia="zh-CN"/>
              </w:rPr>
              <w:t>。</w:t>
            </w:r>
          </w:p>
        </w:tc>
        <w:tc>
          <w:tcPr>
            <w:tcW w:w="850" w:type="dxa"/>
            <w:shd w:val="clear" w:color="auto" w:fill="auto"/>
            <w:vAlign w:val="center"/>
          </w:tcPr>
          <w:p>
            <w:pPr>
              <w:spacing w:line="360" w:lineRule="auto"/>
              <w:jc w:val="center"/>
              <w:rPr>
                <w:rFonts w:ascii="宋体" w:hAnsi="宋体"/>
                <w:szCs w:val="21"/>
              </w:rPr>
            </w:pPr>
            <w:r>
              <w:rPr>
                <w:rFonts w:hint="eastAsia" w:ascii="宋体" w:hAnsi="宋体"/>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851" w:type="dxa"/>
            <w:shd w:val="clear" w:color="auto" w:fill="auto"/>
            <w:vAlign w:val="center"/>
          </w:tcPr>
          <w:p>
            <w:pPr>
              <w:spacing w:line="360" w:lineRule="auto"/>
              <w:jc w:val="center"/>
              <w:rPr>
                <w:rFonts w:ascii="宋体" w:hAnsi="宋体"/>
                <w:szCs w:val="21"/>
              </w:rPr>
            </w:pPr>
            <w:r>
              <w:rPr>
                <w:rFonts w:hint="eastAsia" w:ascii="宋体" w:hAnsi="宋体"/>
                <w:szCs w:val="21"/>
              </w:rPr>
              <w:t>2.1</w:t>
            </w:r>
          </w:p>
        </w:tc>
        <w:tc>
          <w:tcPr>
            <w:tcW w:w="850" w:type="dxa"/>
            <w:vMerge w:val="restart"/>
            <w:tcBorders>
              <w:top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施</w:t>
            </w:r>
          </w:p>
          <w:p>
            <w:pPr>
              <w:spacing w:line="360" w:lineRule="auto"/>
              <w:jc w:val="center"/>
              <w:rPr>
                <w:rFonts w:ascii="宋体" w:hAnsi="宋体"/>
                <w:szCs w:val="21"/>
              </w:rPr>
            </w:pPr>
            <w:r>
              <w:rPr>
                <w:rFonts w:hint="eastAsia" w:ascii="宋体" w:hAnsi="宋体"/>
                <w:szCs w:val="21"/>
              </w:rPr>
              <w:t>工</w:t>
            </w:r>
          </w:p>
          <w:p>
            <w:pPr>
              <w:spacing w:line="360" w:lineRule="auto"/>
              <w:jc w:val="center"/>
              <w:rPr>
                <w:rFonts w:ascii="宋体" w:hAnsi="宋体"/>
                <w:szCs w:val="21"/>
              </w:rPr>
            </w:pPr>
            <w:r>
              <w:rPr>
                <w:rFonts w:hint="eastAsia" w:ascii="宋体" w:hAnsi="宋体"/>
                <w:szCs w:val="21"/>
              </w:rPr>
              <w:t>方</w:t>
            </w:r>
          </w:p>
          <w:p>
            <w:pPr>
              <w:spacing w:line="360" w:lineRule="auto"/>
              <w:jc w:val="center"/>
              <w:rPr>
                <w:rFonts w:ascii="宋体" w:hAnsi="宋体"/>
                <w:szCs w:val="21"/>
              </w:rPr>
            </w:pPr>
            <w:r>
              <w:rPr>
                <w:rFonts w:hint="eastAsia" w:ascii="宋体" w:hAnsi="宋体"/>
                <w:szCs w:val="21"/>
              </w:rPr>
              <w:t>案</w:t>
            </w:r>
          </w:p>
        </w:tc>
        <w:tc>
          <w:tcPr>
            <w:tcW w:w="7230" w:type="dxa"/>
            <w:tcBorders>
              <w:bottom w:val="single" w:color="auto" w:sz="4" w:space="0"/>
            </w:tcBorders>
            <w:shd w:val="clear" w:color="auto" w:fill="auto"/>
            <w:vAlign w:val="center"/>
          </w:tcPr>
          <w:p>
            <w:pPr>
              <w:spacing w:line="360" w:lineRule="auto"/>
              <w:ind w:firstLine="420" w:firstLineChars="200"/>
              <w:rPr>
                <w:rFonts w:ascii="宋体" w:hAnsi="宋体"/>
                <w:szCs w:val="21"/>
              </w:rPr>
            </w:pPr>
            <w:r>
              <w:rPr>
                <w:rFonts w:hint="eastAsia" w:ascii="宋体" w:hAnsi="宋体"/>
                <w:szCs w:val="21"/>
              </w:rPr>
              <w:t>评委根据供应商提供的项目总体技术方案、项目组织方案的合理性、完整性、针对性，以及与周边绿化景观的衔接、对接、实施计划安排的科学性等进行综合评分；</w:t>
            </w:r>
          </w:p>
          <w:p>
            <w:pPr>
              <w:spacing w:line="360" w:lineRule="auto"/>
              <w:ind w:firstLine="420" w:firstLineChars="200"/>
              <w:rPr>
                <w:rFonts w:ascii="宋体" w:hAnsi="宋体"/>
                <w:szCs w:val="21"/>
              </w:rPr>
            </w:pPr>
            <w:r>
              <w:rPr>
                <w:rFonts w:ascii="宋体" w:hAnsi="宋体"/>
                <w:szCs w:val="21"/>
              </w:rPr>
              <w:t>技术方案</w:t>
            </w:r>
            <w:r>
              <w:rPr>
                <w:rFonts w:hint="eastAsia" w:ascii="宋体" w:hAnsi="宋体"/>
                <w:szCs w:val="21"/>
              </w:rPr>
              <w:t>科学合理、结合实际，可操作性强，有完善的项目组织方案、实施计划，得8</w:t>
            </w:r>
            <w:r>
              <w:rPr>
                <w:rFonts w:ascii="宋体" w:hAnsi="宋体"/>
                <w:szCs w:val="21"/>
              </w:rPr>
              <w:t>-</w:t>
            </w:r>
            <w:r>
              <w:rPr>
                <w:rFonts w:hint="eastAsia" w:ascii="宋体" w:hAnsi="宋体"/>
                <w:szCs w:val="21"/>
              </w:rPr>
              <w:t>10分；</w:t>
            </w:r>
          </w:p>
          <w:p>
            <w:pPr>
              <w:spacing w:line="360" w:lineRule="auto"/>
              <w:ind w:firstLine="420" w:firstLineChars="200"/>
              <w:rPr>
                <w:rFonts w:ascii="宋体" w:hAnsi="宋体"/>
                <w:color w:val="000000"/>
                <w:szCs w:val="21"/>
              </w:rPr>
            </w:pPr>
            <w:r>
              <w:rPr>
                <w:rFonts w:hint="eastAsia" w:ascii="宋体" w:hAnsi="宋体"/>
                <w:szCs w:val="21"/>
              </w:rPr>
              <w:t>技术</w:t>
            </w:r>
            <w:r>
              <w:rPr>
                <w:rFonts w:hint="eastAsia" w:ascii="宋体" w:hAnsi="宋体"/>
                <w:color w:val="000000"/>
                <w:szCs w:val="21"/>
              </w:rPr>
              <w:t>方案、组织方案、实施计划等较为贴合本项目实际需求，能较好的满足要求得4</w:t>
            </w:r>
            <w:r>
              <w:rPr>
                <w:rFonts w:ascii="宋体" w:hAnsi="宋体"/>
                <w:color w:val="000000"/>
                <w:szCs w:val="21"/>
              </w:rPr>
              <w:t>-</w:t>
            </w:r>
            <w:r>
              <w:rPr>
                <w:rFonts w:hint="eastAsia" w:ascii="宋体" w:hAnsi="宋体"/>
                <w:color w:val="000000"/>
                <w:szCs w:val="21"/>
              </w:rPr>
              <w:t>7分；</w:t>
            </w:r>
          </w:p>
          <w:p>
            <w:pPr>
              <w:spacing w:line="360" w:lineRule="auto"/>
              <w:ind w:firstLine="420" w:firstLineChars="200"/>
              <w:jc w:val="left"/>
              <w:rPr>
                <w:rFonts w:ascii="宋体" w:hAnsi="宋体"/>
                <w:szCs w:val="21"/>
              </w:rPr>
            </w:pPr>
            <w:r>
              <w:rPr>
                <w:rFonts w:hint="eastAsia" w:ascii="宋体" w:hAnsi="宋体"/>
                <w:color w:val="000000"/>
                <w:szCs w:val="21"/>
              </w:rPr>
              <w:t>整体技术方案一般，可行性一般得</w:t>
            </w:r>
            <w:r>
              <w:rPr>
                <w:rFonts w:ascii="宋体" w:hAnsi="宋体"/>
                <w:color w:val="000000"/>
                <w:szCs w:val="21"/>
              </w:rPr>
              <w:t>0-</w:t>
            </w:r>
            <w:r>
              <w:rPr>
                <w:rFonts w:hint="eastAsia" w:ascii="宋体" w:hAnsi="宋体"/>
                <w:color w:val="000000"/>
                <w:szCs w:val="21"/>
              </w:rPr>
              <w:t>3分。</w:t>
            </w:r>
          </w:p>
        </w:tc>
        <w:tc>
          <w:tcPr>
            <w:tcW w:w="850" w:type="dxa"/>
            <w:shd w:val="clear" w:color="auto" w:fill="auto"/>
            <w:vAlign w:val="center"/>
          </w:tcPr>
          <w:p>
            <w:pPr>
              <w:spacing w:line="360" w:lineRule="auto"/>
              <w:jc w:val="center"/>
              <w:rPr>
                <w:rFonts w:ascii="宋体" w:hAnsi="宋体"/>
                <w:szCs w:val="21"/>
              </w:rPr>
            </w:pPr>
            <w:r>
              <w:rPr>
                <w:rFonts w:hint="eastAsia" w:ascii="宋体" w:hAnsi="宋体"/>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851" w:type="dxa"/>
            <w:tcBorders>
              <w:bottom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2.2</w:t>
            </w:r>
          </w:p>
        </w:tc>
        <w:tc>
          <w:tcPr>
            <w:tcW w:w="850" w:type="dxa"/>
            <w:vMerge w:val="continue"/>
            <w:shd w:val="clear" w:color="auto" w:fill="auto"/>
            <w:vAlign w:val="center"/>
          </w:tcPr>
          <w:p>
            <w:pPr>
              <w:spacing w:line="360" w:lineRule="auto"/>
              <w:jc w:val="center"/>
              <w:rPr>
                <w:rFonts w:ascii="宋体" w:hAnsi="宋体"/>
                <w:szCs w:val="21"/>
              </w:rPr>
            </w:pPr>
          </w:p>
        </w:tc>
        <w:tc>
          <w:tcPr>
            <w:tcW w:w="7230" w:type="dxa"/>
            <w:tcBorders>
              <w:top w:val="single" w:color="auto" w:sz="4" w:space="0"/>
            </w:tcBorders>
            <w:shd w:val="clear" w:color="auto" w:fill="auto"/>
            <w:vAlign w:val="center"/>
          </w:tcPr>
          <w:p>
            <w:pPr>
              <w:spacing w:line="360" w:lineRule="auto"/>
              <w:ind w:firstLine="420" w:firstLineChars="200"/>
              <w:rPr>
                <w:rFonts w:ascii="宋体" w:hAnsi="宋体"/>
                <w:szCs w:val="21"/>
              </w:rPr>
            </w:pPr>
            <w:r>
              <w:rPr>
                <w:rFonts w:hint="eastAsia" w:ascii="宋体" w:hAnsi="宋体"/>
                <w:szCs w:val="21"/>
              </w:rPr>
              <w:t>评委根据供应商提供施工方案的可行性、先进性、合理性进行综合评分，主要包含：施工作业条件、施工作业措施、施工保障和配套措施等方面；</w:t>
            </w:r>
          </w:p>
          <w:p>
            <w:pPr>
              <w:spacing w:line="360" w:lineRule="auto"/>
              <w:ind w:firstLine="105" w:firstLineChars="50"/>
              <w:rPr>
                <w:rFonts w:ascii="宋体" w:hAnsi="宋体"/>
                <w:szCs w:val="21"/>
              </w:rPr>
            </w:pPr>
            <w:r>
              <w:rPr>
                <w:rFonts w:hint="eastAsia" w:ascii="宋体" w:hAnsi="宋体"/>
                <w:szCs w:val="21"/>
              </w:rPr>
              <w:t xml:space="preserve">   方</w:t>
            </w:r>
            <w:r>
              <w:rPr>
                <w:rFonts w:ascii="宋体" w:hAnsi="宋体"/>
                <w:szCs w:val="21"/>
              </w:rPr>
              <w:t>案</w:t>
            </w:r>
            <w:r>
              <w:rPr>
                <w:rFonts w:hint="eastAsia" w:ascii="宋体" w:hAnsi="宋体"/>
                <w:color w:val="000000"/>
                <w:szCs w:val="21"/>
              </w:rPr>
              <w:t>结合实际，科学合理，可操作性强，对于项目的重点、难点进行深层次分析并提出解决方案，各项措施及保障方</w:t>
            </w:r>
            <w:r>
              <w:rPr>
                <w:rFonts w:hint="eastAsia" w:ascii="宋体" w:hAnsi="宋体"/>
                <w:szCs w:val="21"/>
              </w:rPr>
              <w:t>案完善的得4</w:t>
            </w:r>
            <w:r>
              <w:rPr>
                <w:rFonts w:ascii="宋体" w:hAnsi="宋体"/>
                <w:szCs w:val="21"/>
              </w:rPr>
              <w:t>-</w:t>
            </w:r>
            <w:r>
              <w:rPr>
                <w:rFonts w:hint="eastAsia" w:ascii="宋体" w:hAnsi="宋体"/>
                <w:szCs w:val="21"/>
              </w:rPr>
              <w:t>5分；</w:t>
            </w:r>
          </w:p>
          <w:p>
            <w:pPr>
              <w:spacing w:line="360" w:lineRule="auto"/>
              <w:ind w:firstLine="420" w:firstLineChars="200"/>
              <w:rPr>
                <w:rFonts w:ascii="宋体" w:hAnsi="宋体"/>
                <w:szCs w:val="21"/>
              </w:rPr>
            </w:pPr>
            <w:r>
              <w:rPr>
                <w:rFonts w:hint="eastAsia" w:ascii="宋体" w:hAnsi="宋体"/>
                <w:szCs w:val="21"/>
              </w:rPr>
              <w:t>施工方案及各项保障措施齐全，较为贴合本项目实际需求，能较好的满足要求得2</w:t>
            </w:r>
            <w:r>
              <w:rPr>
                <w:rFonts w:ascii="宋体" w:hAnsi="宋体"/>
                <w:szCs w:val="21"/>
              </w:rPr>
              <w:t>-</w:t>
            </w:r>
            <w:r>
              <w:rPr>
                <w:rFonts w:hint="eastAsia" w:ascii="宋体" w:hAnsi="宋体"/>
                <w:szCs w:val="21"/>
              </w:rPr>
              <w:t>3分；</w:t>
            </w:r>
          </w:p>
          <w:p>
            <w:pPr>
              <w:spacing w:line="360" w:lineRule="auto"/>
              <w:ind w:firstLine="420" w:firstLineChars="200"/>
              <w:jc w:val="left"/>
              <w:rPr>
                <w:rFonts w:ascii="宋体" w:hAnsi="宋体"/>
                <w:szCs w:val="21"/>
              </w:rPr>
            </w:pPr>
            <w:r>
              <w:rPr>
                <w:rFonts w:hint="eastAsia" w:ascii="宋体" w:hAnsi="宋体"/>
                <w:szCs w:val="21"/>
              </w:rPr>
              <w:t>施工方案及各项保障措施方案一般，可行性一般0</w:t>
            </w:r>
            <w:r>
              <w:rPr>
                <w:rFonts w:ascii="宋体" w:hAnsi="宋体"/>
                <w:szCs w:val="21"/>
              </w:rPr>
              <w:t>-</w:t>
            </w:r>
            <w:r>
              <w:rPr>
                <w:rFonts w:hint="eastAsia" w:ascii="宋体" w:hAnsi="宋体"/>
                <w:szCs w:val="21"/>
              </w:rPr>
              <w:t>1分；</w:t>
            </w:r>
          </w:p>
        </w:tc>
        <w:tc>
          <w:tcPr>
            <w:tcW w:w="850" w:type="dxa"/>
            <w:shd w:val="clear" w:color="auto" w:fill="auto"/>
            <w:vAlign w:val="center"/>
          </w:tcPr>
          <w:p>
            <w:pPr>
              <w:spacing w:line="360" w:lineRule="auto"/>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2.3</w:t>
            </w:r>
          </w:p>
        </w:tc>
        <w:tc>
          <w:tcPr>
            <w:tcW w:w="850" w:type="dxa"/>
            <w:vMerge w:val="continue"/>
            <w:shd w:val="clear" w:color="auto" w:fill="auto"/>
            <w:vAlign w:val="center"/>
          </w:tcPr>
          <w:p>
            <w:pPr>
              <w:spacing w:line="360" w:lineRule="auto"/>
              <w:jc w:val="center"/>
              <w:rPr>
                <w:rFonts w:ascii="宋体" w:hAnsi="宋体"/>
                <w:szCs w:val="21"/>
              </w:rPr>
            </w:pPr>
          </w:p>
        </w:tc>
        <w:tc>
          <w:tcPr>
            <w:tcW w:w="7230" w:type="dxa"/>
            <w:shd w:val="clear" w:color="auto" w:fill="auto"/>
            <w:vAlign w:val="center"/>
          </w:tcPr>
          <w:p>
            <w:pPr>
              <w:spacing w:line="360" w:lineRule="auto"/>
              <w:ind w:firstLine="420" w:firstLineChars="200"/>
              <w:rPr>
                <w:rFonts w:ascii="宋体" w:hAnsi="宋体"/>
                <w:szCs w:val="21"/>
              </w:rPr>
            </w:pPr>
            <w:r>
              <w:rPr>
                <w:rFonts w:hint="eastAsia" w:ascii="宋体" w:hAnsi="宋体"/>
                <w:szCs w:val="21"/>
              </w:rPr>
              <w:t>评委根据供应商提供的绿化砍伐、苗木栽植、绿化提升及日常养护（含巡查、修剪、补植、浇水、卫生保洁等）方案进行综合评分；</w:t>
            </w:r>
          </w:p>
          <w:p>
            <w:pPr>
              <w:spacing w:line="360" w:lineRule="auto"/>
              <w:ind w:firstLine="420" w:firstLineChars="200"/>
              <w:rPr>
                <w:rFonts w:ascii="宋体" w:hAnsi="宋体"/>
                <w:szCs w:val="21"/>
              </w:rPr>
            </w:pPr>
            <w:r>
              <w:rPr>
                <w:rFonts w:hint="eastAsia" w:ascii="宋体" w:hAnsi="宋体"/>
                <w:szCs w:val="21"/>
              </w:rPr>
              <w:t>投标人提供详细的方案及保障措施，方案确实可行，措施具体，针对性强的得4-5分；</w:t>
            </w:r>
          </w:p>
          <w:p>
            <w:pPr>
              <w:spacing w:line="360" w:lineRule="auto"/>
              <w:ind w:firstLine="420" w:firstLineChars="200"/>
              <w:rPr>
                <w:rFonts w:ascii="宋体" w:hAnsi="宋体"/>
                <w:szCs w:val="21"/>
              </w:rPr>
            </w:pPr>
            <w:r>
              <w:rPr>
                <w:rFonts w:hint="eastAsia" w:ascii="宋体" w:hAnsi="宋体"/>
                <w:szCs w:val="21"/>
              </w:rPr>
              <w:t>投标人方案齐全，</w:t>
            </w:r>
            <w:r>
              <w:rPr>
                <w:rFonts w:ascii="宋体" w:hAnsi="宋体"/>
                <w:szCs w:val="21"/>
              </w:rPr>
              <w:t>方案有可操作性，有</w:t>
            </w:r>
            <w:r>
              <w:rPr>
                <w:rFonts w:hint="eastAsia" w:ascii="宋体" w:hAnsi="宋体"/>
                <w:szCs w:val="21"/>
              </w:rPr>
              <w:t>较</w:t>
            </w:r>
            <w:r>
              <w:rPr>
                <w:rFonts w:ascii="宋体" w:hAnsi="宋体"/>
                <w:szCs w:val="21"/>
              </w:rPr>
              <w:t>具体</w:t>
            </w:r>
            <w:r>
              <w:rPr>
                <w:rFonts w:hint="eastAsia" w:ascii="宋体" w:hAnsi="宋体"/>
                <w:szCs w:val="21"/>
              </w:rPr>
              <w:t>的</w:t>
            </w:r>
            <w:r>
              <w:rPr>
                <w:rFonts w:ascii="宋体" w:hAnsi="宋体"/>
                <w:szCs w:val="21"/>
              </w:rPr>
              <w:t>流程</w:t>
            </w:r>
            <w:r>
              <w:rPr>
                <w:rFonts w:hint="eastAsia" w:ascii="宋体" w:hAnsi="宋体"/>
                <w:szCs w:val="21"/>
              </w:rPr>
              <w:t>得2-3分；</w:t>
            </w:r>
          </w:p>
          <w:p>
            <w:pPr>
              <w:spacing w:line="360" w:lineRule="auto"/>
              <w:ind w:firstLine="420" w:firstLineChars="200"/>
              <w:jc w:val="left"/>
              <w:rPr>
                <w:rFonts w:ascii="宋体" w:hAnsi="宋体"/>
                <w:szCs w:val="21"/>
              </w:rPr>
            </w:pPr>
            <w:r>
              <w:rPr>
                <w:rFonts w:hint="eastAsia" w:ascii="宋体" w:hAnsi="宋体"/>
                <w:szCs w:val="21"/>
              </w:rPr>
              <w:t>投标人方案较齐全，可行性一般的得0-1分；</w:t>
            </w:r>
          </w:p>
        </w:tc>
        <w:tc>
          <w:tcPr>
            <w:tcW w:w="850" w:type="dxa"/>
            <w:shd w:val="clear" w:color="auto" w:fill="auto"/>
            <w:vAlign w:val="center"/>
          </w:tcPr>
          <w:p>
            <w:pPr>
              <w:spacing w:line="360" w:lineRule="auto"/>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1" w:type="dxa"/>
            <w:shd w:val="clear" w:color="auto" w:fill="auto"/>
            <w:vAlign w:val="center"/>
          </w:tcPr>
          <w:p>
            <w:pPr>
              <w:spacing w:line="360" w:lineRule="auto"/>
              <w:jc w:val="center"/>
              <w:rPr>
                <w:rFonts w:ascii="宋体" w:hAnsi="宋体"/>
                <w:szCs w:val="21"/>
              </w:rPr>
            </w:pPr>
            <w:r>
              <w:rPr>
                <w:rFonts w:hint="eastAsia" w:ascii="宋体" w:hAnsi="宋体"/>
                <w:szCs w:val="21"/>
              </w:rPr>
              <w:t>2.4</w:t>
            </w:r>
          </w:p>
        </w:tc>
        <w:tc>
          <w:tcPr>
            <w:tcW w:w="850" w:type="dxa"/>
            <w:vMerge w:val="continue"/>
            <w:shd w:val="clear" w:color="auto" w:fill="auto"/>
            <w:vAlign w:val="center"/>
          </w:tcPr>
          <w:p>
            <w:pPr>
              <w:spacing w:line="360" w:lineRule="auto"/>
              <w:jc w:val="center"/>
              <w:rPr>
                <w:rFonts w:ascii="宋体" w:hAnsi="宋体"/>
                <w:szCs w:val="21"/>
              </w:rPr>
            </w:pPr>
          </w:p>
        </w:tc>
        <w:tc>
          <w:tcPr>
            <w:tcW w:w="7230" w:type="dxa"/>
            <w:tcBorders>
              <w:top w:val="single" w:color="auto" w:sz="4" w:space="0"/>
              <w:bottom w:val="single" w:color="auto" w:sz="4" w:space="0"/>
            </w:tcBorders>
            <w:shd w:val="clear" w:color="auto" w:fill="auto"/>
            <w:vAlign w:val="center"/>
          </w:tcPr>
          <w:p>
            <w:pPr>
              <w:spacing w:line="360" w:lineRule="auto"/>
              <w:ind w:firstLine="420" w:firstLineChars="200"/>
              <w:rPr>
                <w:rFonts w:ascii="宋体" w:hAnsi="宋体"/>
                <w:szCs w:val="21"/>
              </w:rPr>
            </w:pPr>
            <w:r>
              <w:rPr>
                <w:rFonts w:hint="eastAsia" w:ascii="宋体" w:hAnsi="宋体"/>
                <w:szCs w:val="21"/>
              </w:rPr>
              <w:t>评委根据供应商提供的在道路周边安全疏导方案、安全保障措施、安全组织方案进行综合评分；</w:t>
            </w:r>
          </w:p>
          <w:p>
            <w:pPr>
              <w:spacing w:line="360" w:lineRule="auto"/>
              <w:ind w:firstLine="420" w:firstLineChars="200"/>
              <w:rPr>
                <w:rFonts w:ascii="宋体" w:hAnsi="宋体"/>
                <w:szCs w:val="21"/>
              </w:rPr>
            </w:pPr>
            <w:r>
              <w:rPr>
                <w:rFonts w:hint="eastAsia" w:ascii="宋体" w:hAnsi="宋体"/>
                <w:szCs w:val="21"/>
              </w:rPr>
              <w:t>投标人提供详细的方案及保障措施，方案确实可行，措施具体，针对性强的得4-5分；</w:t>
            </w:r>
          </w:p>
          <w:p>
            <w:pPr>
              <w:spacing w:line="360" w:lineRule="auto"/>
              <w:ind w:firstLine="420" w:firstLineChars="200"/>
              <w:rPr>
                <w:rFonts w:ascii="宋体" w:hAnsi="宋体"/>
                <w:szCs w:val="21"/>
              </w:rPr>
            </w:pPr>
            <w:r>
              <w:rPr>
                <w:rFonts w:hint="eastAsia" w:ascii="宋体" w:hAnsi="宋体"/>
                <w:szCs w:val="21"/>
              </w:rPr>
              <w:t>投标人方案齐全，方案有可操作性，</w:t>
            </w:r>
            <w:r>
              <w:rPr>
                <w:rFonts w:ascii="宋体" w:hAnsi="宋体"/>
                <w:szCs w:val="21"/>
              </w:rPr>
              <w:t>有</w:t>
            </w:r>
            <w:r>
              <w:rPr>
                <w:rFonts w:hint="eastAsia" w:ascii="宋体" w:hAnsi="宋体"/>
                <w:szCs w:val="21"/>
              </w:rPr>
              <w:t>较</w:t>
            </w:r>
            <w:r>
              <w:rPr>
                <w:rFonts w:ascii="宋体" w:hAnsi="宋体"/>
                <w:szCs w:val="21"/>
              </w:rPr>
              <w:t>具体</w:t>
            </w:r>
            <w:r>
              <w:rPr>
                <w:rFonts w:hint="eastAsia" w:ascii="宋体" w:hAnsi="宋体"/>
                <w:szCs w:val="21"/>
              </w:rPr>
              <w:t>的</w:t>
            </w:r>
            <w:r>
              <w:rPr>
                <w:rFonts w:ascii="宋体" w:hAnsi="宋体"/>
                <w:szCs w:val="21"/>
              </w:rPr>
              <w:t>流程</w:t>
            </w:r>
            <w:r>
              <w:rPr>
                <w:rFonts w:hint="eastAsia" w:ascii="宋体" w:hAnsi="宋体"/>
                <w:szCs w:val="21"/>
              </w:rPr>
              <w:t>，得2-3分；</w:t>
            </w:r>
          </w:p>
          <w:p>
            <w:pPr>
              <w:spacing w:line="360" w:lineRule="auto"/>
              <w:ind w:firstLine="420" w:firstLineChars="200"/>
              <w:jc w:val="left"/>
              <w:rPr>
                <w:rFonts w:ascii="宋体" w:hAnsi="宋体"/>
                <w:szCs w:val="21"/>
              </w:rPr>
            </w:pPr>
            <w:r>
              <w:rPr>
                <w:rFonts w:hint="eastAsia" w:ascii="宋体" w:hAnsi="宋体"/>
                <w:szCs w:val="21"/>
              </w:rPr>
              <w:t>投标人方案较齐全，可行性一般的得0-1分；</w:t>
            </w:r>
          </w:p>
        </w:tc>
        <w:tc>
          <w:tcPr>
            <w:tcW w:w="850" w:type="dxa"/>
            <w:shd w:val="clear" w:color="auto" w:fill="auto"/>
            <w:vAlign w:val="center"/>
          </w:tcPr>
          <w:p>
            <w:pPr>
              <w:spacing w:line="360" w:lineRule="auto"/>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51" w:type="dxa"/>
            <w:shd w:val="clear" w:color="auto" w:fill="auto"/>
            <w:vAlign w:val="center"/>
          </w:tcPr>
          <w:p>
            <w:pPr>
              <w:spacing w:line="360" w:lineRule="auto"/>
              <w:jc w:val="center"/>
              <w:rPr>
                <w:rFonts w:ascii="宋体" w:hAnsi="宋体"/>
                <w:szCs w:val="21"/>
              </w:rPr>
            </w:pPr>
            <w:r>
              <w:rPr>
                <w:rFonts w:hint="eastAsia" w:ascii="宋体" w:hAnsi="宋体"/>
                <w:szCs w:val="21"/>
              </w:rPr>
              <w:t>2.5</w:t>
            </w:r>
          </w:p>
        </w:tc>
        <w:tc>
          <w:tcPr>
            <w:tcW w:w="850" w:type="dxa"/>
            <w:vMerge w:val="continue"/>
            <w:tcBorders>
              <w:bottom w:val="single" w:color="auto" w:sz="4" w:space="0"/>
            </w:tcBorders>
            <w:shd w:val="clear" w:color="auto" w:fill="auto"/>
            <w:vAlign w:val="center"/>
          </w:tcPr>
          <w:p>
            <w:pPr>
              <w:spacing w:line="360" w:lineRule="auto"/>
              <w:jc w:val="center"/>
              <w:rPr>
                <w:rFonts w:ascii="宋体" w:hAnsi="宋体"/>
                <w:szCs w:val="21"/>
              </w:rPr>
            </w:pPr>
          </w:p>
        </w:tc>
        <w:tc>
          <w:tcPr>
            <w:tcW w:w="7230" w:type="dxa"/>
            <w:shd w:val="clear" w:color="auto" w:fill="auto"/>
            <w:vAlign w:val="center"/>
          </w:tcPr>
          <w:p>
            <w:pPr>
              <w:spacing w:line="360" w:lineRule="auto"/>
              <w:ind w:left="210" w:leftChars="100" w:firstLine="315" w:firstLineChars="150"/>
              <w:rPr>
                <w:rFonts w:ascii="宋体" w:hAnsi="宋体"/>
                <w:szCs w:val="21"/>
              </w:rPr>
            </w:pPr>
            <w:r>
              <w:rPr>
                <w:rFonts w:hint="eastAsia" w:ascii="宋体" w:hAnsi="宋体"/>
                <w:szCs w:val="21"/>
              </w:rPr>
              <w:t>评委根据供应商提供的质量保证措施、突发事件应急处置方案进行综合评分；</w:t>
            </w:r>
          </w:p>
          <w:p>
            <w:pPr>
              <w:spacing w:line="360" w:lineRule="auto"/>
              <w:ind w:left="210" w:leftChars="100" w:firstLine="315" w:firstLineChars="150"/>
              <w:rPr>
                <w:rFonts w:ascii="宋体" w:hAnsi="宋体"/>
                <w:szCs w:val="21"/>
              </w:rPr>
            </w:pPr>
            <w:r>
              <w:rPr>
                <w:rFonts w:hint="eastAsia" w:ascii="宋体" w:hAnsi="宋体"/>
                <w:szCs w:val="21"/>
              </w:rPr>
              <w:t>投标人提供详细质量保证措施，针对各类突发事件、事故应急等具备完善的处理方案，得4-5分；</w:t>
            </w:r>
          </w:p>
          <w:p>
            <w:pPr>
              <w:spacing w:line="360" w:lineRule="auto"/>
              <w:ind w:firstLine="630" w:firstLineChars="300"/>
              <w:rPr>
                <w:rFonts w:ascii="宋体" w:hAnsi="宋体"/>
                <w:szCs w:val="21"/>
              </w:rPr>
            </w:pPr>
            <w:r>
              <w:rPr>
                <w:rFonts w:hint="eastAsia" w:ascii="宋体" w:hAnsi="宋体"/>
                <w:szCs w:val="21"/>
              </w:rPr>
              <w:t>投标人方案齐全，方案有可操作性，</w:t>
            </w:r>
            <w:r>
              <w:rPr>
                <w:rFonts w:ascii="宋体" w:hAnsi="宋体"/>
                <w:szCs w:val="21"/>
              </w:rPr>
              <w:t>有</w:t>
            </w:r>
            <w:r>
              <w:rPr>
                <w:rFonts w:hint="eastAsia" w:ascii="宋体" w:hAnsi="宋体"/>
                <w:szCs w:val="21"/>
              </w:rPr>
              <w:t>较</w:t>
            </w:r>
            <w:r>
              <w:rPr>
                <w:rFonts w:ascii="宋体" w:hAnsi="宋体"/>
                <w:szCs w:val="21"/>
              </w:rPr>
              <w:t>具体</w:t>
            </w:r>
            <w:r>
              <w:rPr>
                <w:rFonts w:hint="eastAsia" w:ascii="宋体" w:hAnsi="宋体"/>
                <w:szCs w:val="21"/>
              </w:rPr>
              <w:t>的</w:t>
            </w:r>
            <w:r>
              <w:rPr>
                <w:rFonts w:ascii="宋体" w:hAnsi="宋体"/>
                <w:szCs w:val="21"/>
              </w:rPr>
              <w:t>流程</w:t>
            </w:r>
            <w:r>
              <w:rPr>
                <w:rFonts w:hint="eastAsia" w:ascii="宋体" w:hAnsi="宋体"/>
                <w:szCs w:val="21"/>
              </w:rPr>
              <w:t>，得2-3分；</w:t>
            </w:r>
          </w:p>
          <w:p>
            <w:pPr>
              <w:spacing w:line="360" w:lineRule="auto"/>
              <w:ind w:firstLine="630" w:firstLineChars="300"/>
              <w:rPr>
                <w:rFonts w:ascii="宋体" w:hAnsi="宋体"/>
                <w:szCs w:val="21"/>
              </w:rPr>
            </w:pPr>
            <w:r>
              <w:rPr>
                <w:rFonts w:hint="eastAsia" w:ascii="宋体" w:hAnsi="宋体"/>
                <w:szCs w:val="21"/>
              </w:rPr>
              <w:t>投标人方案较齐全，可行性一般的得0-1分；</w:t>
            </w:r>
          </w:p>
        </w:tc>
        <w:tc>
          <w:tcPr>
            <w:tcW w:w="850" w:type="dxa"/>
            <w:shd w:val="clear" w:color="auto" w:fill="auto"/>
            <w:vAlign w:val="center"/>
          </w:tcPr>
          <w:p>
            <w:pPr>
              <w:spacing w:line="360" w:lineRule="auto"/>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6" w:hRule="atLeast"/>
          <w:jc w:val="center"/>
        </w:trPr>
        <w:tc>
          <w:tcPr>
            <w:tcW w:w="851" w:type="dxa"/>
            <w:shd w:val="clear" w:color="auto" w:fill="auto"/>
            <w:vAlign w:val="center"/>
          </w:tcPr>
          <w:p>
            <w:pPr>
              <w:spacing w:line="360" w:lineRule="auto"/>
              <w:jc w:val="center"/>
              <w:rPr>
                <w:rFonts w:ascii="宋体" w:hAnsi="宋体"/>
                <w:szCs w:val="21"/>
              </w:rPr>
            </w:pPr>
            <w:r>
              <w:rPr>
                <w:rFonts w:hint="eastAsia" w:ascii="宋体" w:hAnsi="宋体"/>
                <w:szCs w:val="21"/>
              </w:rPr>
              <w:t>3</w:t>
            </w:r>
          </w:p>
        </w:tc>
        <w:tc>
          <w:tcPr>
            <w:tcW w:w="850" w:type="dxa"/>
            <w:tcBorders>
              <w:top w:val="single" w:color="auto" w:sz="4" w:space="0"/>
              <w:bottom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业绩</w:t>
            </w:r>
          </w:p>
        </w:tc>
        <w:tc>
          <w:tcPr>
            <w:tcW w:w="7230" w:type="dxa"/>
            <w:shd w:val="clear" w:color="auto" w:fill="auto"/>
            <w:vAlign w:val="center"/>
          </w:tcPr>
          <w:p>
            <w:pPr>
              <w:spacing w:line="360" w:lineRule="auto"/>
              <w:ind w:firstLine="420" w:firstLineChars="200"/>
              <w:jc w:val="left"/>
              <w:rPr>
                <w:rFonts w:ascii="宋体" w:hAnsi="宋体"/>
                <w:szCs w:val="21"/>
              </w:rPr>
            </w:pPr>
            <w:r>
              <w:rPr>
                <w:rFonts w:ascii="宋体" w:hAnsi="宋体"/>
                <w:szCs w:val="21"/>
              </w:rPr>
              <w:t>根据供应商</w:t>
            </w:r>
            <w:r>
              <w:rPr>
                <w:rFonts w:hint="eastAsia" w:ascii="宋体" w:hAnsi="宋体"/>
                <w:szCs w:val="21"/>
              </w:rPr>
              <w:t>自201</w:t>
            </w:r>
            <w:r>
              <w:rPr>
                <w:rFonts w:ascii="宋体" w:hAnsi="宋体"/>
                <w:szCs w:val="21"/>
              </w:rPr>
              <w:t>7</w:t>
            </w:r>
            <w:r>
              <w:rPr>
                <w:rFonts w:hint="eastAsia" w:ascii="宋体" w:hAnsi="宋体"/>
                <w:szCs w:val="21"/>
              </w:rPr>
              <w:t>年至今承担的</w:t>
            </w:r>
            <w:r>
              <w:rPr>
                <w:rFonts w:ascii="宋体" w:hAnsi="宋体"/>
                <w:szCs w:val="21"/>
              </w:rPr>
              <w:t>绿化</w:t>
            </w:r>
            <w:r>
              <w:rPr>
                <w:rFonts w:hint="eastAsia" w:ascii="宋体" w:hAnsi="宋体"/>
                <w:szCs w:val="21"/>
              </w:rPr>
              <w:t>移植</w:t>
            </w:r>
            <w:r>
              <w:rPr>
                <w:rFonts w:ascii="宋体" w:hAnsi="宋体"/>
                <w:szCs w:val="21"/>
              </w:rPr>
              <w:t>工程业绩情况评分，每提供一个得</w:t>
            </w:r>
            <w:r>
              <w:rPr>
                <w:rFonts w:hint="eastAsia" w:ascii="宋体" w:hAnsi="宋体"/>
                <w:szCs w:val="21"/>
              </w:rPr>
              <w:t>2</w:t>
            </w:r>
            <w:r>
              <w:rPr>
                <w:rFonts w:ascii="宋体" w:hAnsi="宋体"/>
                <w:szCs w:val="21"/>
              </w:rPr>
              <w:t>分</w:t>
            </w:r>
            <w:r>
              <w:rPr>
                <w:rFonts w:hint="eastAsia" w:ascii="宋体" w:hAnsi="宋体"/>
                <w:szCs w:val="21"/>
              </w:rPr>
              <w:t>，满分</w:t>
            </w:r>
            <w:r>
              <w:rPr>
                <w:rFonts w:ascii="宋体" w:hAnsi="宋体"/>
                <w:szCs w:val="21"/>
              </w:rPr>
              <w:t>1</w:t>
            </w:r>
            <w:r>
              <w:rPr>
                <w:rFonts w:hint="eastAsia" w:ascii="宋体" w:hAnsi="宋体"/>
                <w:szCs w:val="21"/>
              </w:rPr>
              <w:t>0</w:t>
            </w:r>
            <w:r>
              <w:rPr>
                <w:rFonts w:ascii="宋体" w:hAnsi="宋体"/>
                <w:szCs w:val="21"/>
              </w:rPr>
              <w:t>分。（提供合同复印件</w:t>
            </w:r>
            <w:r>
              <w:rPr>
                <w:rFonts w:hint="eastAsia" w:ascii="宋体" w:hAnsi="宋体"/>
                <w:szCs w:val="21"/>
              </w:rPr>
              <w:t>。</w:t>
            </w:r>
            <w:r>
              <w:rPr>
                <w:rFonts w:ascii="宋体" w:hAnsi="宋体"/>
                <w:szCs w:val="21"/>
              </w:rPr>
              <w:t>）合同原件备查，提供不全或没有提供的不得分。</w:t>
            </w:r>
          </w:p>
        </w:tc>
        <w:tc>
          <w:tcPr>
            <w:tcW w:w="850" w:type="dxa"/>
            <w:shd w:val="clear" w:color="auto" w:fill="auto"/>
            <w:vAlign w:val="center"/>
          </w:tcPr>
          <w:p>
            <w:pPr>
              <w:spacing w:line="360" w:lineRule="auto"/>
              <w:jc w:val="center"/>
              <w:rPr>
                <w:rFonts w:ascii="宋体" w:hAnsi="宋体"/>
                <w:szCs w:val="21"/>
              </w:rPr>
            </w:pPr>
            <w:r>
              <w:rPr>
                <w:rFonts w:hint="eastAsia" w:ascii="宋体" w:hAnsi="宋体"/>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851" w:type="dxa"/>
            <w:shd w:val="clear" w:color="auto" w:fill="auto"/>
            <w:vAlign w:val="center"/>
          </w:tcPr>
          <w:p>
            <w:pPr>
              <w:spacing w:line="360" w:lineRule="auto"/>
              <w:jc w:val="center"/>
              <w:rPr>
                <w:rFonts w:ascii="宋体" w:hAnsi="宋体"/>
                <w:szCs w:val="21"/>
              </w:rPr>
            </w:pPr>
            <w:r>
              <w:rPr>
                <w:rFonts w:hint="eastAsia" w:ascii="宋体" w:hAnsi="宋体"/>
                <w:szCs w:val="21"/>
              </w:rPr>
              <w:t>4.1</w:t>
            </w:r>
          </w:p>
        </w:tc>
        <w:tc>
          <w:tcPr>
            <w:tcW w:w="850" w:type="dxa"/>
            <w:vMerge w:val="restart"/>
            <w:tcBorders>
              <w:top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信誉</w:t>
            </w:r>
          </w:p>
        </w:tc>
        <w:tc>
          <w:tcPr>
            <w:tcW w:w="7230" w:type="dxa"/>
            <w:tcBorders>
              <w:top w:val="single" w:color="auto" w:sz="4" w:space="0"/>
            </w:tcBorders>
            <w:shd w:val="clear" w:color="auto" w:fill="auto"/>
            <w:vAlign w:val="center"/>
          </w:tcPr>
          <w:p>
            <w:pPr>
              <w:spacing w:line="360" w:lineRule="auto"/>
              <w:ind w:firstLine="420" w:firstLineChars="200"/>
              <w:jc w:val="left"/>
              <w:rPr>
                <w:rFonts w:hint="eastAsia" w:ascii="宋体" w:hAnsi="宋体" w:eastAsia="宋体"/>
                <w:color w:val="auto"/>
                <w:szCs w:val="21"/>
                <w:lang w:eastAsia="zh-CN"/>
              </w:rPr>
            </w:pPr>
            <w:r>
              <w:rPr>
                <w:rFonts w:hint="eastAsia" w:ascii="宋体" w:hAnsi="宋体"/>
                <w:color w:val="auto"/>
                <w:szCs w:val="21"/>
              </w:rPr>
              <w:t>供应商同时具有有效期内ISO9001质量管理体系认证、环境管理体系认证、职业健康安全管理体系认证，每有一个得2分</w:t>
            </w:r>
            <w:r>
              <w:rPr>
                <w:color w:val="auto"/>
              </w:rPr>
              <w:t>（投标文件中必须提供证书</w:t>
            </w:r>
            <w:r>
              <w:rPr>
                <w:rFonts w:hint="eastAsia"/>
                <w:color w:val="auto"/>
              </w:rPr>
              <w:t>彩色扫描</w:t>
            </w:r>
            <w:r>
              <w:rPr>
                <w:color w:val="auto"/>
              </w:rPr>
              <w:t>件</w:t>
            </w:r>
            <w:r>
              <w:rPr>
                <w:rFonts w:hint="eastAsia"/>
                <w:color w:val="auto"/>
              </w:rPr>
              <w:t>或该证书在中国国家认证认可监督管理委员会网站Http://www.cnca.gov.cn/上查询的页面截图</w:t>
            </w:r>
            <w:r>
              <w:rPr>
                <w:rFonts w:hint="eastAsia"/>
                <w:color w:val="auto"/>
                <w:lang w:eastAsia="zh-CN"/>
              </w:rPr>
              <w:t>，原件备查</w:t>
            </w:r>
            <w:r>
              <w:rPr>
                <w:color w:val="auto"/>
              </w:rPr>
              <w:t>，否则不得分</w:t>
            </w:r>
            <w:r>
              <w:rPr>
                <w:rFonts w:hint="eastAsia"/>
                <w:color w:val="auto"/>
                <w:lang w:eastAsia="zh-CN"/>
              </w:rPr>
              <w:t>）。</w:t>
            </w:r>
          </w:p>
        </w:tc>
        <w:tc>
          <w:tcPr>
            <w:tcW w:w="850" w:type="dxa"/>
            <w:tcBorders>
              <w:top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851" w:type="dxa"/>
            <w:shd w:val="clear" w:color="auto" w:fill="auto"/>
            <w:vAlign w:val="center"/>
          </w:tcPr>
          <w:p>
            <w:pPr>
              <w:spacing w:line="360" w:lineRule="auto"/>
              <w:jc w:val="center"/>
              <w:rPr>
                <w:rFonts w:ascii="宋体" w:hAnsi="宋体"/>
                <w:szCs w:val="21"/>
              </w:rPr>
            </w:pPr>
            <w:r>
              <w:rPr>
                <w:rFonts w:hint="eastAsia" w:ascii="宋体" w:hAnsi="宋体"/>
                <w:szCs w:val="21"/>
              </w:rPr>
              <w:t>4.2</w:t>
            </w:r>
          </w:p>
        </w:tc>
        <w:tc>
          <w:tcPr>
            <w:tcW w:w="850" w:type="dxa"/>
            <w:vMerge w:val="continue"/>
            <w:shd w:val="clear" w:color="auto" w:fill="auto"/>
            <w:vAlign w:val="center"/>
          </w:tcPr>
          <w:p>
            <w:pPr>
              <w:spacing w:line="360" w:lineRule="auto"/>
              <w:jc w:val="center"/>
              <w:rPr>
                <w:rFonts w:ascii="宋体" w:hAnsi="宋体"/>
                <w:szCs w:val="21"/>
              </w:rPr>
            </w:pPr>
          </w:p>
        </w:tc>
        <w:tc>
          <w:tcPr>
            <w:tcW w:w="7230" w:type="dxa"/>
            <w:shd w:val="clear" w:color="auto" w:fill="auto"/>
            <w:vAlign w:val="center"/>
          </w:tcPr>
          <w:p>
            <w:pPr>
              <w:spacing w:line="360" w:lineRule="auto"/>
              <w:ind w:firstLine="420" w:firstLineChars="200"/>
              <w:jc w:val="left"/>
              <w:rPr>
                <w:rFonts w:ascii="宋体" w:hAnsi="宋体"/>
                <w:color w:val="auto"/>
                <w:szCs w:val="21"/>
              </w:rPr>
            </w:pPr>
            <w:r>
              <w:rPr>
                <w:rFonts w:hint="eastAsia" w:ascii="宋体" w:hAnsi="宋体"/>
                <w:color w:val="auto"/>
                <w:szCs w:val="21"/>
              </w:rPr>
              <w:t>供应商自201</w:t>
            </w:r>
            <w:r>
              <w:rPr>
                <w:rFonts w:ascii="宋体" w:hAnsi="宋体"/>
                <w:color w:val="auto"/>
                <w:szCs w:val="21"/>
              </w:rPr>
              <w:t>7</w:t>
            </w:r>
            <w:r>
              <w:rPr>
                <w:rFonts w:hint="eastAsia" w:ascii="宋体" w:hAnsi="宋体"/>
                <w:color w:val="auto"/>
                <w:szCs w:val="21"/>
              </w:rPr>
              <w:t>年至今获得市级及以上绿化工程方面荣誉的每有一个得1分，该项最高得6分（提供相关证明材料，原件备查）。</w:t>
            </w:r>
          </w:p>
        </w:tc>
        <w:tc>
          <w:tcPr>
            <w:tcW w:w="850" w:type="dxa"/>
            <w:shd w:val="clear" w:color="auto" w:fill="auto"/>
            <w:vAlign w:val="center"/>
          </w:tcPr>
          <w:p>
            <w:pPr>
              <w:spacing w:line="360" w:lineRule="auto"/>
              <w:jc w:val="center"/>
              <w:rPr>
                <w:rFonts w:ascii="宋体" w:hAnsi="宋体"/>
                <w:szCs w:val="21"/>
              </w:rPr>
            </w:pPr>
            <w:r>
              <w:rPr>
                <w:rFonts w:hint="eastAsia" w:ascii="宋体" w:hAnsi="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851" w:type="dxa"/>
            <w:shd w:val="clear" w:color="auto" w:fill="auto"/>
            <w:vAlign w:val="center"/>
          </w:tcPr>
          <w:p>
            <w:pPr>
              <w:spacing w:line="360" w:lineRule="auto"/>
              <w:jc w:val="center"/>
              <w:rPr>
                <w:rFonts w:ascii="宋体" w:hAnsi="宋体"/>
                <w:szCs w:val="21"/>
              </w:rPr>
            </w:pPr>
            <w:r>
              <w:rPr>
                <w:rFonts w:hint="eastAsia" w:ascii="宋体" w:hAnsi="宋体"/>
                <w:szCs w:val="21"/>
              </w:rPr>
              <w:t>4.3</w:t>
            </w:r>
          </w:p>
        </w:tc>
        <w:tc>
          <w:tcPr>
            <w:tcW w:w="850" w:type="dxa"/>
            <w:vMerge w:val="continue"/>
            <w:tcBorders>
              <w:bottom w:val="single" w:color="auto" w:sz="4" w:space="0"/>
            </w:tcBorders>
            <w:shd w:val="clear" w:color="auto" w:fill="auto"/>
            <w:vAlign w:val="center"/>
          </w:tcPr>
          <w:p>
            <w:pPr>
              <w:spacing w:line="360" w:lineRule="auto"/>
              <w:jc w:val="center"/>
              <w:rPr>
                <w:rFonts w:ascii="宋体" w:hAnsi="宋体"/>
                <w:szCs w:val="21"/>
              </w:rPr>
            </w:pPr>
          </w:p>
        </w:tc>
        <w:tc>
          <w:tcPr>
            <w:tcW w:w="7230" w:type="dxa"/>
            <w:shd w:val="clear" w:color="auto" w:fill="auto"/>
            <w:vAlign w:val="center"/>
          </w:tcPr>
          <w:p>
            <w:pPr>
              <w:spacing w:line="360" w:lineRule="auto"/>
              <w:ind w:firstLine="420" w:firstLineChars="200"/>
              <w:jc w:val="left"/>
              <w:rPr>
                <w:rFonts w:ascii="宋体" w:hAnsi="宋体"/>
                <w:color w:val="auto"/>
                <w:szCs w:val="21"/>
              </w:rPr>
            </w:pPr>
            <w:r>
              <w:rPr>
                <w:rFonts w:hint="eastAsia" w:ascii="宋体" w:hAnsi="宋体"/>
                <w:color w:val="auto"/>
                <w:szCs w:val="21"/>
              </w:rPr>
              <w:t>供应商自201</w:t>
            </w:r>
            <w:r>
              <w:rPr>
                <w:rFonts w:ascii="宋体" w:hAnsi="宋体"/>
                <w:color w:val="auto"/>
                <w:szCs w:val="21"/>
              </w:rPr>
              <w:t>7</w:t>
            </w:r>
            <w:r>
              <w:rPr>
                <w:rFonts w:hint="eastAsia" w:ascii="宋体" w:hAnsi="宋体"/>
                <w:color w:val="auto"/>
                <w:szCs w:val="21"/>
              </w:rPr>
              <w:t>年以来</w:t>
            </w:r>
            <w:r>
              <w:rPr>
                <w:rFonts w:ascii="宋体" w:hAnsi="宋体"/>
                <w:color w:val="auto"/>
                <w:szCs w:val="21"/>
              </w:rPr>
              <w:t>获得过</w:t>
            </w:r>
            <w:r>
              <w:rPr>
                <w:rFonts w:hint="eastAsia" w:ascii="宋体" w:hAnsi="宋体"/>
                <w:color w:val="auto"/>
                <w:szCs w:val="21"/>
              </w:rPr>
              <w:t>政府</w:t>
            </w:r>
            <w:r>
              <w:rPr>
                <w:rFonts w:ascii="宋体" w:hAnsi="宋体"/>
                <w:color w:val="auto"/>
                <w:szCs w:val="21"/>
              </w:rPr>
              <w:t>部门</w:t>
            </w:r>
            <w:r>
              <w:rPr>
                <w:rFonts w:hint="eastAsia" w:ascii="宋体" w:hAnsi="宋体"/>
                <w:color w:val="auto"/>
                <w:szCs w:val="21"/>
              </w:rPr>
              <w:t>颁发</w:t>
            </w:r>
            <w:r>
              <w:rPr>
                <w:rFonts w:ascii="宋体" w:hAnsi="宋体"/>
                <w:color w:val="auto"/>
                <w:szCs w:val="21"/>
              </w:rPr>
              <w:t>的“</w:t>
            </w:r>
            <w:r>
              <w:rPr>
                <w:rFonts w:hint="eastAsia" w:ascii="宋体" w:hAnsi="宋体"/>
                <w:color w:val="auto"/>
                <w:szCs w:val="21"/>
              </w:rPr>
              <w:t>重</w:t>
            </w:r>
            <w:r>
              <w:rPr>
                <w:rFonts w:ascii="宋体" w:hAnsi="宋体"/>
                <w:color w:val="auto"/>
                <w:szCs w:val="21"/>
              </w:rPr>
              <w:t>合同</w:t>
            </w:r>
            <w:r>
              <w:rPr>
                <w:rFonts w:hint="eastAsia" w:ascii="宋体" w:hAnsi="宋体"/>
                <w:color w:val="auto"/>
                <w:szCs w:val="21"/>
              </w:rPr>
              <w:t>守</w:t>
            </w:r>
            <w:r>
              <w:rPr>
                <w:rFonts w:ascii="宋体" w:hAnsi="宋体"/>
                <w:color w:val="auto"/>
                <w:szCs w:val="21"/>
              </w:rPr>
              <w:t>信用企业”</w:t>
            </w:r>
            <w:r>
              <w:rPr>
                <w:rFonts w:hint="eastAsia" w:ascii="宋体" w:hAnsi="宋体"/>
                <w:color w:val="auto"/>
                <w:szCs w:val="21"/>
              </w:rPr>
              <w:t>或“守合同重信用”</w:t>
            </w:r>
            <w:r>
              <w:rPr>
                <w:rFonts w:ascii="宋体" w:hAnsi="宋体"/>
                <w:color w:val="auto"/>
                <w:szCs w:val="21"/>
              </w:rPr>
              <w:t>证书</w:t>
            </w:r>
            <w:r>
              <w:rPr>
                <w:rFonts w:hint="eastAsia" w:ascii="宋体" w:hAnsi="宋体"/>
                <w:color w:val="auto"/>
                <w:szCs w:val="21"/>
              </w:rPr>
              <w:t>的得1</w:t>
            </w:r>
            <w:r>
              <w:rPr>
                <w:rFonts w:ascii="宋体" w:hAnsi="宋体"/>
                <w:color w:val="auto"/>
                <w:szCs w:val="21"/>
              </w:rPr>
              <w:t>分</w:t>
            </w:r>
            <w:r>
              <w:rPr>
                <w:rFonts w:hint="eastAsia" w:ascii="宋体" w:hAnsi="宋体"/>
                <w:color w:val="auto"/>
                <w:szCs w:val="21"/>
              </w:rPr>
              <w:t>。</w:t>
            </w:r>
          </w:p>
          <w:p>
            <w:pPr>
              <w:spacing w:line="360" w:lineRule="auto"/>
              <w:ind w:firstLine="420" w:firstLineChars="200"/>
              <w:jc w:val="left"/>
              <w:rPr>
                <w:rFonts w:ascii="宋体" w:hAnsi="宋体"/>
                <w:color w:val="auto"/>
                <w:szCs w:val="21"/>
              </w:rPr>
            </w:pPr>
            <w:r>
              <w:rPr>
                <w:rFonts w:hint="eastAsia" w:ascii="宋体" w:hAnsi="宋体"/>
                <w:color w:val="auto"/>
                <w:szCs w:val="21"/>
              </w:rPr>
              <w:t>供应商获得AAA资信等级证书的得1分。</w:t>
            </w:r>
          </w:p>
          <w:p>
            <w:pPr>
              <w:spacing w:line="360" w:lineRule="auto"/>
              <w:ind w:firstLine="420" w:firstLineChars="200"/>
              <w:jc w:val="left"/>
              <w:rPr>
                <w:rFonts w:ascii="宋体" w:hAnsi="宋体"/>
                <w:color w:val="auto"/>
                <w:szCs w:val="21"/>
              </w:rPr>
            </w:pPr>
            <w:r>
              <w:rPr>
                <w:rFonts w:hint="eastAsia" w:ascii="宋体" w:hAnsi="宋体"/>
                <w:color w:val="auto"/>
                <w:szCs w:val="21"/>
              </w:rPr>
              <w:t>供应商获得绿化相关实用新型专利，每有一个得2分，最高6分。</w:t>
            </w:r>
          </w:p>
        </w:tc>
        <w:tc>
          <w:tcPr>
            <w:tcW w:w="850" w:type="dxa"/>
            <w:shd w:val="clear" w:color="auto" w:fill="auto"/>
            <w:vAlign w:val="center"/>
          </w:tcPr>
          <w:p>
            <w:pPr>
              <w:spacing w:line="360" w:lineRule="auto"/>
              <w:jc w:val="center"/>
              <w:rPr>
                <w:rFonts w:ascii="宋体" w:hAnsi="宋体"/>
                <w:szCs w:val="21"/>
              </w:rPr>
            </w:pPr>
            <w:r>
              <w:rPr>
                <w:rFonts w:hint="eastAsia" w:ascii="宋体" w:hAnsi="宋体"/>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jc w:val="center"/>
        </w:trPr>
        <w:tc>
          <w:tcPr>
            <w:tcW w:w="851" w:type="dxa"/>
            <w:shd w:val="clear" w:color="auto" w:fill="auto"/>
            <w:vAlign w:val="center"/>
          </w:tcPr>
          <w:p>
            <w:pPr>
              <w:spacing w:line="360" w:lineRule="auto"/>
              <w:jc w:val="center"/>
              <w:rPr>
                <w:rFonts w:ascii="宋体" w:hAnsi="宋体"/>
                <w:szCs w:val="21"/>
              </w:rPr>
            </w:pPr>
            <w:r>
              <w:rPr>
                <w:rFonts w:hint="eastAsia" w:ascii="宋体" w:hAnsi="宋体"/>
                <w:szCs w:val="21"/>
              </w:rPr>
              <w:t>5.1</w:t>
            </w:r>
          </w:p>
        </w:tc>
        <w:tc>
          <w:tcPr>
            <w:tcW w:w="850" w:type="dxa"/>
            <w:vMerge w:val="restart"/>
            <w:tcBorders>
              <w:top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技</w:t>
            </w:r>
          </w:p>
          <w:p>
            <w:pPr>
              <w:spacing w:line="360" w:lineRule="auto"/>
              <w:jc w:val="center"/>
              <w:rPr>
                <w:rFonts w:ascii="宋体" w:hAnsi="宋体"/>
                <w:szCs w:val="21"/>
              </w:rPr>
            </w:pPr>
            <w:r>
              <w:rPr>
                <w:rFonts w:hint="eastAsia" w:ascii="宋体" w:hAnsi="宋体"/>
                <w:szCs w:val="21"/>
              </w:rPr>
              <w:t>术</w:t>
            </w:r>
          </w:p>
          <w:p>
            <w:pPr>
              <w:spacing w:line="360" w:lineRule="auto"/>
              <w:jc w:val="center"/>
              <w:rPr>
                <w:rFonts w:ascii="宋体" w:hAnsi="宋体"/>
                <w:szCs w:val="21"/>
              </w:rPr>
            </w:pPr>
            <w:r>
              <w:rPr>
                <w:rFonts w:hint="eastAsia" w:ascii="宋体" w:hAnsi="宋体"/>
                <w:szCs w:val="21"/>
              </w:rPr>
              <w:t>实</w:t>
            </w:r>
          </w:p>
          <w:p>
            <w:pPr>
              <w:spacing w:line="360" w:lineRule="auto"/>
              <w:jc w:val="center"/>
              <w:rPr>
                <w:rFonts w:ascii="宋体" w:hAnsi="宋体"/>
                <w:szCs w:val="21"/>
              </w:rPr>
            </w:pPr>
            <w:r>
              <w:rPr>
                <w:rFonts w:hint="eastAsia" w:ascii="宋体" w:hAnsi="宋体"/>
                <w:szCs w:val="21"/>
              </w:rPr>
              <w:t>力</w:t>
            </w:r>
          </w:p>
        </w:tc>
        <w:tc>
          <w:tcPr>
            <w:tcW w:w="7230" w:type="dxa"/>
            <w:shd w:val="clear" w:color="auto" w:fill="auto"/>
            <w:vAlign w:val="center"/>
          </w:tcPr>
          <w:p>
            <w:pPr>
              <w:spacing w:line="360" w:lineRule="auto"/>
              <w:ind w:firstLine="420" w:firstLineChars="200"/>
              <w:jc w:val="left"/>
              <w:rPr>
                <w:rFonts w:ascii="宋体" w:hAnsi="宋体"/>
                <w:color w:val="FF0000"/>
                <w:szCs w:val="21"/>
              </w:rPr>
            </w:pPr>
            <w:r>
              <w:rPr>
                <w:rFonts w:ascii="宋体" w:hAnsi="宋体"/>
                <w:szCs w:val="21"/>
              </w:rPr>
              <w:t>供应商拟投入项目管理人员具有：造价工程师、施工员、质检员、安全员、材料员每提供</w:t>
            </w:r>
            <w:r>
              <w:rPr>
                <w:rFonts w:hint="eastAsia" w:ascii="宋体" w:hAnsi="宋体"/>
                <w:szCs w:val="21"/>
              </w:rPr>
              <w:t>一个</w:t>
            </w:r>
            <w:r>
              <w:rPr>
                <w:rFonts w:ascii="宋体" w:hAnsi="宋体"/>
                <w:szCs w:val="21"/>
              </w:rPr>
              <w:t>得</w:t>
            </w:r>
            <w:r>
              <w:rPr>
                <w:rFonts w:hint="eastAsia" w:ascii="宋体" w:hAnsi="宋体"/>
                <w:szCs w:val="21"/>
              </w:rPr>
              <w:t>1</w:t>
            </w:r>
            <w:r>
              <w:rPr>
                <w:rFonts w:ascii="宋体" w:hAnsi="宋体"/>
                <w:szCs w:val="21"/>
              </w:rPr>
              <w:t>分，造价工程师具备高级职称的</w:t>
            </w:r>
            <w:r>
              <w:rPr>
                <w:rFonts w:hint="eastAsia" w:ascii="宋体" w:hAnsi="宋体"/>
                <w:szCs w:val="21"/>
              </w:rPr>
              <w:t>加2</w:t>
            </w:r>
            <w:r>
              <w:rPr>
                <w:rFonts w:ascii="宋体" w:hAnsi="宋体"/>
                <w:szCs w:val="21"/>
              </w:rPr>
              <w:t>分、中级及以下职称</w:t>
            </w:r>
            <w:r>
              <w:rPr>
                <w:rFonts w:hint="eastAsia" w:ascii="宋体" w:hAnsi="宋体"/>
                <w:szCs w:val="21"/>
              </w:rPr>
              <w:t>加</w:t>
            </w:r>
            <w:r>
              <w:rPr>
                <w:rFonts w:ascii="宋体" w:hAnsi="宋体"/>
                <w:szCs w:val="21"/>
              </w:rPr>
              <w:t>1分</w:t>
            </w:r>
            <w:r>
              <w:rPr>
                <w:rFonts w:hint="eastAsia" w:ascii="宋体" w:hAnsi="宋体"/>
                <w:szCs w:val="21"/>
              </w:rPr>
              <w:t>，</w:t>
            </w:r>
            <w:r>
              <w:rPr>
                <w:rFonts w:ascii="宋体" w:hAnsi="宋体"/>
                <w:szCs w:val="21"/>
              </w:rPr>
              <w:t>该项最多得</w:t>
            </w:r>
            <w:r>
              <w:rPr>
                <w:rFonts w:hint="eastAsia" w:ascii="宋体" w:hAnsi="宋体"/>
                <w:szCs w:val="21"/>
              </w:rPr>
              <w:t>7</w:t>
            </w:r>
            <w:r>
              <w:rPr>
                <w:rFonts w:ascii="宋体" w:hAnsi="宋体"/>
                <w:szCs w:val="21"/>
              </w:rPr>
              <w:t>分（提供上述人员执业证或上岗证书和</w:t>
            </w:r>
            <w:r>
              <w:rPr>
                <w:rFonts w:hint="eastAsia" w:ascii="宋体" w:hAnsi="宋体"/>
                <w:szCs w:val="21"/>
              </w:rPr>
              <w:t>2019年9月至今6个月</w:t>
            </w:r>
            <w:r>
              <w:rPr>
                <w:rFonts w:ascii="宋体" w:hAnsi="宋体"/>
                <w:szCs w:val="21"/>
              </w:rPr>
              <w:t>在本单位交纳社保证明复印件，原件备查</w:t>
            </w:r>
            <w:r>
              <w:rPr>
                <w:rFonts w:hint="eastAsia" w:ascii="宋体" w:hAnsi="宋体"/>
                <w:szCs w:val="21"/>
              </w:rPr>
              <w:t>，未提供或提供不全的不得分）。</w:t>
            </w:r>
          </w:p>
        </w:tc>
        <w:tc>
          <w:tcPr>
            <w:tcW w:w="850" w:type="dxa"/>
            <w:shd w:val="clear" w:color="auto" w:fill="auto"/>
            <w:vAlign w:val="center"/>
          </w:tcPr>
          <w:p>
            <w:pPr>
              <w:spacing w:line="360" w:lineRule="auto"/>
              <w:jc w:val="center"/>
              <w:rPr>
                <w:rFonts w:ascii="宋体" w:hAnsi="宋体"/>
                <w:szCs w:val="21"/>
              </w:rPr>
            </w:pPr>
            <w:r>
              <w:rPr>
                <w:rFonts w:hint="eastAsia" w:ascii="宋体" w:hAnsi="宋体"/>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851" w:type="dxa"/>
            <w:shd w:val="clear" w:color="auto" w:fill="auto"/>
            <w:vAlign w:val="center"/>
          </w:tcPr>
          <w:p>
            <w:pPr>
              <w:spacing w:line="360" w:lineRule="auto"/>
              <w:jc w:val="center"/>
              <w:rPr>
                <w:rFonts w:ascii="宋体" w:hAnsi="宋体"/>
                <w:szCs w:val="21"/>
              </w:rPr>
            </w:pPr>
            <w:r>
              <w:rPr>
                <w:rFonts w:hint="eastAsia" w:ascii="宋体" w:hAnsi="宋体"/>
                <w:szCs w:val="21"/>
              </w:rPr>
              <w:t>5.2</w:t>
            </w:r>
          </w:p>
        </w:tc>
        <w:tc>
          <w:tcPr>
            <w:tcW w:w="850" w:type="dxa"/>
            <w:vMerge w:val="continue"/>
            <w:shd w:val="clear" w:color="auto" w:fill="auto"/>
            <w:vAlign w:val="center"/>
          </w:tcPr>
          <w:p>
            <w:pPr>
              <w:spacing w:line="360" w:lineRule="auto"/>
              <w:jc w:val="center"/>
              <w:rPr>
                <w:rFonts w:ascii="宋体" w:hAnsi="宋体"/>
                <w:szCs w:val="21"/>
              </w:rPr>
            </w:pPr>
          </w:p>
        </w:tc>
        <w:tc>
          <w:tcPr>
            <w:tcW w:w="7230" w:type="dxa"/>
            <w:shd w:val="clear" w:color="auto" w:fill="auto"/>
            <w:vAlign w:val="center"/>
          </w:tcPr>
          <w:p>
            <w:pPr>
              <w:spacing w:line="360" w:lineRule="auto"/>
              <w:ind w:firstLine="420" w:firstLineChars="200"/>
              <w:jc w:val="left"/>
              <w:rPr>
                <w:rFonts w:ascii="宋体" w:hAnsi="宋体"/>
                <w:szCs w:val="21"/>
              </w:rPr>
            </w:pPr>
            <w:r>
              <w:rPr>
                <w:rFonts w:hint="eastAsia" w:ascii="宋体" w:hAnsi="宋体"/>
                <w:szCs w:val="21"/>
              </w:rPr>
              <w:t>评委根据供应商服务能力进行综合评分，拥有苗圃300-600亩得1分，600-1000亩得2分，1000亩以上得3分；（苗圃提供租赁合同或其他证明文件，原件备查）。</w:t>
            </w:r>
          </w:p>
        </w:tc>
        <w:tc>
          <w:tcPr>
            <w:tcW w:w="850" w:type="dxa"/>
            <w:shd w:val="clear" w:color="auto" w:fill="auto"/>
            <w:vAlign w:val="center"/>
          </w:tcPr>
          <w:p>
            <w:pPr>
              <w:spacing w:line="360" w:lineRule="auto"/>
              <w:jc w:val="center"/>
              <w:rPr>
                <w:rFonts w:ascii="宋体" w:hAnsi="宋体"/>
                <w:szCs w:val="21"/>
              </w:rPr>
            </w:pPr>
            <w:r>
              <w:rPr>
                <w:rFonts w:hint="eastAsia" w:ascii="宋体" w:hAnsi="宋体"/>
                <w:szCs w:val="21"/>
              </w:rPr>
              <w:t>3</w:t>
            </w:r>
          </w:p>
        </w:tc>
      </w:tr>
    </w:tbl>
    <w:p>
      <w:pPr>
        <w:pStyle w:val="16"/>
        <w:spacing w:line="360" w:lineRule="auto"/>
        <w:ind w:firstLine="420" w:firstLineChars="200"/>
        <w:rPr>
          <w:rFonts w:ascii="Times New Roman" w:hAnsi="Times New Roman"/>
          <w:szCs w:val="21"/>
        </w:rPr>
      </w:pPr>
    </w:p>
    <w:p>
      <w:pPr>
        <w:spacing w:line="360" w:lineRule="auto"/>
        <w:rPr>
          <w:rFonts w:ascii="宋体" w:hAnsi="宋体" w:cs="宋体"/>
          <w:b/>
          <w:kern w:val="0"/>
          <w:szCs w:val="21"/>
          <w:lang w:val="zh-CN"/>
        </w:rPr>
      </w:pPr>
      <w:r>
        <w:rPr>
          <w:rFonts w:hint="eastAsia" w:ascii="宋体" w:hAnsi="宋体" w:cs="宋体"/>
          <w:b/>
          <w:kern w:val="0"/>
          <w:szCs w:val="21"/>
          <w:lang w:val="zh-CN"/>
        </w:rPr>
        <w:t>说明：</w:t>
      </w:r>
    </w:p>
    <w:p>
      <w:pPr>
        <w:spacing w:line="360" w:lineRule="auto"/>
        <w:rPr>
          <w:rFonts w:ascii="宋体" w:hAnsi="宋体" w:cs="宋体"/>
          <w:b/>
          <w:bCs/>
          <w:kern w:val="0"/>
          <w:szCs w:val="21"/>
        </w:rPr>
      </w:pPr>
      <w:r>
        <w:rPr>
          <w:rFonts w:hint="eastAsia" w:ascii="宋体" w:hAnsi="宋体" w:cs="宋体"/>
          <w:b/>
          <w:bCs/>
          <w:kern w:val="0"/>
          <w:szCs w:val="21"/>
        </w:rPr>
        <w:t>中小企业、残疾人福利性企业、监狱企业：</w:t>
      </w:r>
    </w:p>
    <w:p>
      <w:pPr>
        <w:spacing w:line="360" w:lineRule="auto"/>
        <w:ind w:firstLine="210" w:firstLineChars="100"/>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1</w:t>
      </w:r>
      <w:r>
        <w:rPr>
          <w:rFonts w:hint="eastAsia" w:ascii="宋体" w:hAnsi="宋体" w:cs="宋体"/>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pPr>
        <w:spacing w:line="360" w:lineRule="auto"/>
        <w:ind w:firstLine="210" w:firstLineChars="100"/>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2</w:t>
      </w:r>
      <w:r>
        <w:rPr>
          <w:rFonts w:hint="eastAsia" w:ascii="宋体" w:hAnsi="宋体" w:cs="宋体"/>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pPr>
        <w:autoSpaceDE w:val="0"/>
        <w:autoSpaceDN w:val="0"/>
        <w:adjustRightInd w:val="0"/>
        <w:spacing w:line="360" w:lineRule="auto"/>
        <w:ind w:firstLine="210" w:firstLineChars="100"/>
        <w:rPr>
          <w:rFonts w:ascii="Calibri" w:hAnsi="Calibri" w:eastAsia="Calibri" w:cs="宋体"/>
          <w:kern w:val="0"/>
          <w:szCs w:val="21"/>
          <w:lang w:val="zh-CN"/>
        </w:rPr>
      </w:pPr>
      <w:r>
        <w:rPr>
          <w:rFonts w:hint="eastAsia" w:ascii="宋体" w:hAnsi="宋体" w:cs="宋体"/>
          <w:kern w:val="0"/>
          <w:szCs w:val="21"/>
          <w:lang w:val="zh-CN"/>
        </w:rPr>
        <w:t>（</w:t>
      </w:r>
      <w:r>
        <w:rPr>
          <w:rFonts w:hint="eastAsia" w:ascii="宋体" w:hAnsi="宋体" w:cs="宋体"/>
          <w:kern w:val="0"/>
          <w:szCs w:val="21"/>
        </w:rPr>
        <w:t>3</w:t>
      </w:r>
      <w:r>
        <w:rPr>
          <w:rFonts w:hint="eastAsia" w:ascii="宋体" w:hAnsi="宋体" w:cs="宋体"/>
          <w:kern w:val="0"/>
          <w:szCs w:val="21"/>
          <w:lang w:val="zh-CN"/>
        </w:rPr>
        <w:t>）对小型和微型企业的投标价格给予6%扣除，用扣除后的价格参与评审。</w:t>
      </w:r>
    </w:p>
    <w:p>
      <w:pPr>
        <w:spacing w:line="360" w:lineRule="auto"/>
        <w:ind w:firstLine="210" w:firstLineChars="100"/>
        <w:rPr>
          <w:rFonts w:ascii="宋体" w:hAnsi="宋体" w:cs="宋体"/>
          <w:kern w:val="0"/>
          <w:szCs w:val="21"/>
          <w:lang w:val="zh-CN"/>
        </w:rPr>
      </w:pPr>
      <w:r>
        <w:rPr>
          <w:rFonts w:hint="eastAsia" w:ascii="宋体" w:hAnsi="宋体" w:cs="宋体"/>
          <w:kern w:val="0"/>
          <w:szCs w:val="21"/>
          <w:lang w:val="zh-CN"/>
        </w:rPr>
        <w:t>小企业（含小型、微型企业）应当同时符合以下条件：</w:t>
      </w:r>
    </w:p>
    <w:p>
      <w:pPr>
        <w:spacing w:line="360" w:lineRule="auto"/>
        <w:ind w:firstLine="210" w:firstLineChars="100"/>
        <w:rPr>
          <w:rFonts w:ascii="宋体" w:hAnsi="宋体" w:cs="宋体"/>
          <w:kern w:val="0"/>
          <w:szCs w:val="21"/>
          <w:lang w:val="zh-CN"/>
        </w:rPr>
      </w:pPr>
      <w:r>
        <w:rPr>
          <w:rFonts w:hint="eastAsia" w:ascii="宋体" w:hAnsi="宋体" w:cs="宋体"/>
          <w:kern w:val="0"/>
          <w:szCs w:val="21"/>
          <w:lang w:val="zh-CN"/>
        </w:rPr>
        <w:t>1）供应商为小企业，且符合中小企业划分标准；</w:t>
      </w:r>
    </w:p>
    <w:p>
      <w:pPr>
        <w:autoSpaceDE w:val="0"/>
        <w:autoSpaceDN w:val="0"/>
        <w:adjustRightInd w:val="0"/>
        <w:spacing w:line="360" w:lineRule="auto"/>
        <w:ind w:firstLine="210" w:firstLineChars="100"/>
        <w:rPr>
          <w:rFonts w:eastAsiaTheme="minorEastAsia"/>
          <w:kern w:val="0"/>
          <w:szCs w:val="21"/>
        </w:rPr>
      </w:pPr>
      <w:r>
        <w:rPr>
          <w:rFonts w:hint="eastAsia" w:ascii="宋体" w:hAnsi="宋体" w:cs="宋体"/>
          <w:kern w:val="0"/>
          <w:szCs w:val="21"/>
          <w:lang w:val="zh-CN"/>
        </w:rPr>
        <w:t>2）提供本企业制造的货物、承担的工程或者服务，或者提供其他小企业制造的货物。如果提供的货物为大中型企业注册商标的货物，视同大中型企业。</w:t>
      </w:r>
    </w:p>
    <w:p>
      <w:pPr>
        <w:pStyle w:val="16"/>
        <w:spacing w:line="360" w:lineRule="auto"/>
        <w:ind w:firstLine="420" w:firstLineChars="200"/>
        <w:rPr>
          <w:rFonts w:ascii="Times New Roman" w:hAnsi="Times New Roman"/>
          <w:szCs w:val="21"/>
        </w:rPr>
      </w:pPr>
      <w:r>
        <w:rPr>
          <w:rFonts w:hint="eastAsia" w:ascii="Times New Roman" w:hAnsi="Times New Roman"/>
          <w:szCs w:val="21"/>
        </w:rPr>
        <w:t>5、评标结束后，投标人可至</w:t>
      </w:r>
      <w:r>
        <w:rPr>
          <w:rFonts w:ascii="Times New Roman" w:hAnsi="Times New Roman" w:eastAsiaTheme="minorEastAsia"/>
          <w:szCs w:val="21"/>
        </w:rPr>
        <w:t>江苏开放大学首页下方（</w:t>
      </w:r>
      <w:r>
        <w:fldChar w:fldCharType="begin"/>
      </w:r>
      <w:r>
        <w:instrText xml:space="preserve"> HYPERLINK "http://www.jsou.cn/" </w:instrText>
      </w:r>
      <w:r>
        <w:fldChar w:fldCharType="separate"/>
      </w:r>
      <w:r>
        <w:rPr>
          <w:rStyle w:val="35"/>
          <w:rFonts w:ascii="Times New Roman" w:hAnsi="Times New Roman" w:eastAsiaTheme="minorEastAsia"/>
          <w:color w:val="auto"/>
          <w:szCs w:val="21"/>
        </w:rPr>
        <w:t>http://www.jsou.cn/</w:t>
      </w:r>
      <w:r>
        <w:rPr>
          <w:rStyle w:val="35"/>
          <w:rFonts w:ascii="Times New Roman" w:hAnsi="Times New Roman" w:eastAsiaTheme="minorEastAsia"/>
          <w:color w:val="auto"/>
          <w:szCs w:val="21"/>
        </w:rPr>
        <w:fldChar w:fldCharType="end"/>
      </w:r>
      <w:r>
        <w:rPr>
          <w:rFonts w:ascii="Times New Roman" w:hAnsi="Times New Roman" w:eastAsiaTheme="minorEastAsia"/>
          <w:szCs w:val="21"/>
        </w:rPr>
        <w:t>）</w:t>
      </w:r>
      <w:r>
        <w:rPr>
          <w:rFonts w:hint="eastAsia" w:ascii="Times New Roman" w:hAnsi="Times New Roman"/>
          <w:szCs w:val="21"/>
        </w:rPr>
        <w:t>“招标公告”栏的“中标公示”中查看公示最终结果。</w:t>
      </w:r>
    </w:p>
    <w:p>
      <w:pPr>
        <w:pStyle w:val="5"/>
        <w:rPr>
          <w:rStyle w:val="33"/>
          <w:rFonts w:ascii="Times New Roman" w:hAnsi="Times New Roman"/>
          <w:b/>
          <w:bCs w:val="0"/>
          <w:sz w:val="21"/>
          <w:szCs w:val="21"/>
        </w:rPr>
      </w:pPr>
      <w:bookmarkStart w:id="25" w:name="_Toc386980215"/>
      <w:bookmarkStart w:id="26" w:name="_Toc384844738"/>
      <w:bookmarkStart w:id="27" w:name="_Toc455914610"/>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投标保证金</w:t>
      </w:r>
      <w:bookmarkEnd w:id="25"/>
      <w:bookmarkEnd w:id="26"/>
      <w:bookmarkEnd w:id="27"/>
      <w:bookmarkStart w:id="28" w:name="_Toc386980216"/>
      <w:bookmarkStart w:id="29" w:name="_Toc455914611"/>
      <w:bookmarkStart w:id="30" w:name="_Toc384844739"/>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6</w:t>
      </w:r>
      <w:r>
        <w:rPr>
          <w:rFonts w:ascii="Times New Roman" w:hAnsi="Times New Roman"/>
          <w:sz w:val="21"/>
          <w:szCs w:val="21"/>
        </w:rPr>
        <w:t>投标有效期</w:t>
      </w:r>
      <w:bookmarkEnd w:id="28"/>
      <w:bookmarkEnd w:id="29"/>
      <w:bookmarkEnd w:id="30"/>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w:t>
      </w:r>
      <w:r>
        <w:rPr>
          <w:rFonts w:hAnsi="宋体"/>
          <w:szCs w:val="21"/>
        </w:rPr>
        <w:t>人</w:t>
      </w:r>
      <w:r>
        <w:rPr>
          <w:rFonts w:hint="eastAsia" w:hAnsi="宋体"/>
          <w:szCs w:val="21"/>
        </w:rPr>
        <w:t>做出</w:t>
      </w:r>
      <w:r>
        <w:rPr>
          <w:rFonts w:hAnsi="宋体"/>
          <w:szCs w:val="21"/>
        </w:rPr>
        <w:t>答复</w:t>
      </w:r>
      <w:r>
        <w:rPr>
          <w:rFonts w:ascii="Times New Roman" w:hAnsi="Times New Roman"/>
          <w:szCs w:val="21"/>
        </w:rPr>
        <w:t>，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31" w:name="_Toc455914612"/>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无效投标的情形</w:t>
      </w:r>
      <w:bookmarkEnd w:id="31"/>
    </w:p>
    <w:p>
      <w:pPr>
        <w:pStyle w:val="16"/>
        <w:spacing w:line="360" w:lineRule="auto"/>
        <w:ind w:firstLine="420" w:firstLineChars="200"/>
        <w:rPr>
          <w:rFonts w:ascii="Times New Roman" w:hAnsi="Times New Roman"/>
          <w:szCs w:val="21"/>
        </w:rPr>
      </w:pPr>
      <w:bookmarkStart w:id="32"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4、不符合招标文件中规定的实质性要求（报价、技术要求、投标人资质要求）；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5、有三项及以上技术指标负偏离的；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6、不响应招标文件规定的付款方式；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7、有法律法规规定的其他违法行为。</w:t>
      </w:r>
    </w:p>
    <w:bookmarkEnd w:id="32"/>
    <w:p>
      <w:pPr>
        <w:pStyle w:val="5"/>
        <w:rPr>
          <w:rFonts w:ascii="Times New Roman" w:hAnsi="Times New Roman"/>
          <w:sz w:val="21"/>
          <w:szCs w:val="21"/>
        </w:rPr>
      </w:pPr>
      <w:bookmarkStart w:id="33" w:name="_Toc386980217"/>
      <w:bookmarkStart w:id="34" w:name="_Toc384844740"/>
      <w:bookmarkStart w:id="35" w:name="_Toc455914614"/>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合同</w:t>
      </w:r>
      <w:bookmarkEnd w:id="33"/>
      <w:bookmarkEnd w:id="34"/>
      <w:r>
        <w:rPr>
          <w:rFonts w:ascii="Times New Roman" w:hAnsi="Times New Roman"/>
          <w:sz w:val="21"/>
          <w:szCs w:val="21"/>
        </w:rPr>
        <w:t>签订</w:t>
      </w:r>
      <w:bookmarkEnd w:id="35"/>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r>
        <w:rPr>
          <w:rFonts w:hint="eastAsia" w:ascii="Times New Roman" w:hAnsi="Times New Roman"/>
          <w:szCs w:val="21"/>
        </w:rPr>
        <w:t>。</w:t>
      </w:r>
    </w:p>
    <w:p>
      <w:pPr>
        <w:pStyle w:val="5"/>
        <w:rPr>
          <w:rFonts w:ascii="Times New Roman" w:hAnsi="Times New Roman"/>
          <w:sz w:val="21"/>
          <w:szCs w:val="21"/>
        </w:rPr>
      </w:pPr>
      <w:bookmarkStart w:id="36" w:name="_Toc384844741"/>
      <w:bookmarkStart w:id="37" w:name="_Toc386980218"/>
      <w:bookmarkStart w:id="38" w:name="_Toc455914616"/>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付款方式</w:t>
      </w:r>
      <w:bookmarkEnd w:id="36"/>
      <w:bookmarkEnd w:id="37"/>
      <w:bookmarkEnd w:id="38"/>
    </w:p>
    <w:p>
      <w:pPr>
        <w:pStyle w:val="5"/>
        <w:spacing w:line="360" w:lineRule="auto"/>
        <w:ind w:firstLine="422" w:firstLineChars="200"/>
        <w:rPr>
          <w:rFonts w:ascii="Times New Roman" w:hAnsi="Times New Roman"/>
          <w:b w:val="0"/>
          <w:color w:val="auto"/>
          <w:sz w:val="21"/>
          <w:szCs w:val="21"/>
        </w:rPr>
      </w:pPr>
      <w:bookmarkStart w:id="39" w:name="_Toc455914617"/>
      <w:r>
        <w:rPr>
          <w:rStyle w:val="87"/>
          <w:rFonts w:hint="eastAsia" w:ascii="宋体" w:hAnsi="宋体"/>
          <w:color w:val="auto"/>
          <w:sz w:val="21"/>
          <w:szCs w:val="21"/>
        </w:rPr>
        <w:t>签订合同后支付项目总价的3</w:t>
      </w:r>
      <w:r>
        <w:rPr>
          <w:rStyle w:val="87"/>
          <w:rFonts w:ascii="宋体" w:hAnsi="宋体"/>
          <w:color w:val="auto"/>
          <w:sz w:val="21"/>
          <w:szCs w:val="21"/>
        </w:rPr>
        <w:t>0</w:t>
      </w:r>
      <w:r>
        <w:rPr>
          <w:rStyle w:val="87"/>
          <w:rFonts w:hint="eastAsia" w:ascii="宋体" w:hAnsi="宋体"/>
          <w:color w:val="auto"/>
          <w:sz w:val="21"/>
          <w:szCs w:val="21"/>
        </w:rPr>
        <w:t>%，项目完成后支付项目总价的4</w:t>
      </w:r>
      <w:r>
        <w:rPr>
          <w:rStyle w:val="87"/>
          <w:rFonts w:ascii="宋体" w:hAnsi="宋体"/>
          <w:color w:val="auto"/>
          <w:sz w:val="21"/>
          <w:szCs w:val="21"/>
        </w:rPr>
        <w:t>0</w:t>
      </w:r>
      <w:r>
        <w:rPr>
          <w:rStyle w:val="87"/>
          <w:rFonts w:hint="eastAsia" w:ascii="宋体" w:hAnsi="宋体"/>
          <w:color w:val="auto"/>
          <w:sz w:val="21"/>
          <w:szCs w:val="21"/>
        </w:rPr>
        <w:t>%，一年养护期结束后支付最后3</w:t>
      </w:r>
      <w:r>
        <w:rPr>
          <w:rStyle w:val="87"/>
          <w:rFonts w:ascii="宋体" w:hAnsi="宋体"/>
          <w:color w:val="auto"/>
          <w:sz w:val="21"/>
          <w:szCs w:val="21"/>
        </w:rPr>
        <w:t>0</w:t>
      </w:r>
      <w:r>
        <w:rPr>
          <w:rStyle w:val="87"/>
          <w:rFonts w:hint="eastAsia" w:ascii="宋体" w:hAnsi="宋体"/>
          <w:color w:val="auto"/>
          <w:sz w:val="21"/>
          <w:szCs w:val="21"/>
        </w:rPr>
        <w:t>%尾款</w:t>
      </w:r>
      <w:r>
        <w:rPr>
          <w:rStyle w:val="87"/>
          <w:rFonts w:ascii="宋体" w:hAnsi="宋体"/>
          <w:color w:val="auto"/>
          <w:sz w:val="21"/>
          <w:szCs w:val="21"/>
        </w:rPr>
        <w:t>。</w:t>
      </w:r>
    </w:p>
    <w:p>
      <w:pPr>
        <w:rPr>
          <w:szCs w:val="21"/>
        </w:rPr>
      </w:pPr>
    </w:p>
    <w:p>
      <w:pPr>
        <w:widowControl/>
        <w:jc w:val="left"/>
        <w:rPr>
          <w:rFonts w:eastAsia="楷体"/>
          <w:b/>
          <w:sz w:val="44"/>
          <w:szCs w:val="20"/>
        </w:rPr>
      </w:pPr>
      <w:r>
        <w:rPr>
          <w:rFonts w:eastAsia="楷体"/>
          <w:sz w:val="44"/>
        </w:rPr>
        <w:br w:type="page"/>
      </w:r>
    </w:p>
    <w:p>
      <w:pPr>
        <w:pStyle w:val="5"/>
        <w:spacing w:line="360" w:lineRule="auto"/>
        <w:jc w:val="center"/>
        <w:rPr>
          <w:rFonts w:ascii="Times New Roman" w:hAnsi="Times New Roman" w:eastAsia="楷体"/>
          <w:sz w:val="44"/>
        </w:rPr>
      </w:pPr>
      <w:r>
        <w:rPr>
          <w:rFonts w:ascii="Times New Roman" w:hAnsi="Times New Roman" w:eastAsia="楷体"/>
          <w:sz w:val="44"/>
        </w:rPr>
        <w:t>第三部分</w:t>
      </w:r>
      <w:r>
        <w:rPr>
          <w:rFonts w:hint="eastAsia" w:ascii="Times New Roman" w:hAnsi="Times New Roman" w:eastAsia="楷体"/>
          <w:sz w:val="44"/>
        </w:rPr>
        <w:t xml:space="preserve">  </w:t>
      </w:r>
      <w:r>
        <w:rPr>
          <w:rFonts w:ascii="Times New Roman" w:hAnsi="Times New Roman" w:eastAsia="楷体"/>
          <w:sz w:val="44"/>
        </w:rPr>
        <w:t>项目需求</w:t>
      </w:r>
      <w:bookmarkEnd w:id="39"/>
    </w:p>
    <w:p>
      <w:pPr>
        <w:spacing w:line="360" w:lineRule="auto"/>
        <w:ind w:firstLine="422" w:firstLineChars="200"/>
        <w:rPr>
          <w:b/>
          <w:color w:val="auto"/>
          <w:szCs w:val="21"/>
        </w:rPr>
      </w:pPr>
      <w:r>
        <w:rPr>
          <w:rFonts w:hint="eastAsia"/>
          <w:b/>
          <w:color w:val="auto"/>
          <w:szCs w:val="21"/>
        </w:rPr>
        <w:t>3.1项目说明</w:t>
      </w:r>
    </w:p>
    <w:p>
      <w:pPr>
        <w:spacing w:line="360" w:lineRule="auto"/>
        <w:ind w:firstLine="420"/>
        <w:rPr>
          <w:color w:val="auto"/>
          <w:szCs w:val="21"/>
        </w:rPr>
      </w:pPr>
      <w:r>
        <w:rPr>
          <w:rStyle w:val="87"/>
          <w:rFonts w:ascii="宋体" w:hAnsi="宋体"/>
          <w:bCs/>
          <w:color w:val="auto"/>
          <w:szCs w:val="21"/>
        </w:rPr>
        <w:t>江苏开放大学新校区位于南京浦口</w:t>
      </w:r>
      <w:r>
        <w:rPr>
          <w:rStyle w:val="87"/>
          <w:rFonts w:hint="eastAsia"/>
          <w:bCs/>
          <w:color w:val="auto"/>
          <w:szCs w:val="21"/>
        </w:rPr>
        <w:t>区桥林</w:t>
      </w:r>
      <w:r>
        <w:rPr>
          <w:rStyle w:val="87"/>
          <w:rFonts w:ascii="宋体" w:hAnsi="宋体"/>
          <w:bCs/>
          <w:color w:val="auto"/>
          <w:szCs w:val="21"/>
        </w:rPr>
        <w:t>街道，根据</w:t>
      </w:r>
      <w:r>
        <w:rPr>
          <w:rStyle w:val="87"/>
          <w:rFonts w:hint="eastAsia"/>
          <w:bCs/>
          <w:color w:val="auto"/>
          <w:szCs w:val="21"/>
        </w:rPr>
        <w:t>项目</w:t>
      </w:r>
      <w:r>
        <w:rPr>
          <w:rStyle w:val="87"/>
          <w:rFonts w:ascii="宋体" w:hAnsi="宋体"/>
          <w:bCs/>
          <w:color w:val="auto"/>
          <w:szCs w:val="21"/>
        </w:rPr>
        <w:t>要求，将新校区征用土地的部分原始树木移栽至指定区域并进行养护。</w:t>
      </w:r>
    </w:p>
    <w:p>
      <w:pPr>
        <w:spacing w:line="360" w:lineRule="auto"/>
        <w:ind w:firstLine="420"/>
        <w:rPr>
          <w:color w:val="auto"/>
          <w:szCs w:val="21"/>
        </w:rPr>
      </w:pPr>
      <w:r>
        <w:rPr>
          <w:rFonts w:hint="eastAsia"/>
          <w:b/>
          <w:color w:val="auto"/>
          <w:szCs w:val="21"/>
        </w:rPr>
        <w:t>3.</w:t>
      </w:r>
      <w:r>
        <w:rPr>
          <w:b/>
          <w:color w:val="auto"/>
          <w:szCs w:val="21"/>
        </w:rPr>
        <w:t>2</w:t>
      </w:r>
      <w:r>
        <w:rPr>
          <w:rStyle w:val="87"/>
          <w:rFonts w:hint="eastAsia" w:ascii="宋体" w:hAnsi="宋体"/>
          <w:b/>
          <w:color w:val="auto"/>
          <w:szCs w:val="21"/>
        </w:rPr>
        <w:t xml:space="preserve"> </w:t>
      </w:r>
      <w:r>
        <w:rPr>
          <w:rStyle w:val="87"/>
          <w:rFonts w:ascii="宋体" w:hAnsi="宋体"/>
          <w:b/>
          <w:color w:val="auto"/>
          <w:szCs w:val="21"/>
        </w:rPr>
        <w:t>苗木移植服务具体要求如下：</w:t>
      </w:r>
    </w:p>
    <w:tbl>
      <w:tblPr>
        <w:tblStyle w:val="30"/>
        <w:tblpPr w:leftFromText="180" w:rightFromText="180" w:vertAnchor="text" w:horzAnchor="page" w:tblpX="1842" w:tblpY="244"/>
        <w:tblOverlap w:val="never"/>
        <w:tblW w:w="8377" w:type="dxa"/>
        <w:tblInd w:w="0" w:type="dxa"/>
        <w:tblLayout w:type="fixed"/>
        <w:tblCellMar>
          <w:top w:w="0" w:type="dxa"/>
          <w:left w:w="0" w:type="dxa"/>
          <w:bottom w:w="0" w:type="dxa"/>
          <w:right w:w="0" w:type="dxa"/>
        </w:tblCellMar>
      </w:tblPr>
      <w:tblGrid>
        <w:gridCol w:w="688"/>
        <w:gridCol w:w="1607"/>
        <w:gridCol w:w="2330"/>
        <w:gridCol w:w="1790"/>
        <w:gridCol w:w="1962"/>
      </w:tblGrid>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s="宋体"/>
                <w:b/>
                <w:bCs/>
                <w:color w:val="000000"/>
                <w:sz w:val="18"/>
                <w:szCs w:val="18"/>
              </w:rPr>
            </w:pPr>
            <w:r>
              <w:rPr>
                <w:rStyle w:val="87"/>
                <w:rFonts w:ascii="宋体" w:hAnsi="宋体" w:cs="宋体"/>
                <w:b/>
                <w:bCs/>
                <w:color w:val="000000"/>
                <w:kern w:val="0"/>
                <w:sz w:val="18"/>
                <w:szCs w:val="18"/>
              </w:rPr>
              <w:t>序号</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s="宋体"/>
                <w:b/>
                <w:bCs/>
                <w:color w:val="000000"/>
                <w:sz w:val="18"/>
                <w:szCs w:val="18"/>
              </w:rPr>
            </w:pPr>
            <w:r>
              <w:rPr>
                <w:rStyle w:val="87"/>
                <w:rFonts w:ascii="宋体" w:hAnsi="宋体" w:cs="宋体"/>
                <w:b/>
                <w:bCs/>
                <w:color w:val="000000"/>
                <w:kern w:val="0"/>
                <w:sz w:val="18"/>
                <w:szCs w:val="18"/>
              </w:rPr>
              <w:t>品种</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s="宋体"/>
                <w:b/>
                <w:bCs/>
                <w:color w:val="000000"/>
                <w:sz w:val="18"/>
                <w:szCs w:val="18"/>
              </w:rPr>
            </w:pPr>
            <w:r>
              <w:rPr>
                <w:rStyle w:val="87"/>
                <w:rFonts w:ascii="宋体" w:hAnsi="宋体" w:cs="宋体"/>
                <w:b/>
                <w:bCs/>
                <w:color w:val="000000"/>
                <w:kern w:val="0"/>
                <w:sz w:val="18"/>
                <w:szCs w:val="18"/>
              </w:rPr>
              <w:t>规格</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s="宋体"/>
                <w:b/>
                <w:bCs/>
                <w:color w:val="000000"/>
                <w:sz w:val="18"/>
                <w:szCs w:val="18"/>
              </w:rPr>
            </w:pPr>
            <w:r>
              <w:rPr>
                <w:rStyle w:val="87"/>
                <w:rFonts w:ascii="宋体" w:hAnsi="宋体" w:cs="宋体"/>
                <w:b/>
                <w:bCs/>
                <w:color w:val="000000"/>
                <w:kern w:val="0"/>
                <w:sz w:val="18"/>
                <w:szCs w:val="18"/>
              </w:rPr>
              <w:t>数量</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s="宋体"/>
                <w:b/>
                <w:bCs/>
                <w:color w:val="000000"/>
                <w:sz w:val="18"/>
                <w:szCs w:val="18"/>
              </w:rPr>
            </w:pPr>
            <w:r>
              <w:rPr>
                <w:rStyle w:val="87"/>
                <w:rFonts w:ascii="宋体" w:hAnsi="宋体" w:cs="宋体"/>
                <w:b/>
                <w:bCs/>
                <w:color w:val="000000"/>
                <w:kern w:val="0"/>
                <w:sz w:val="18"/>
                <w:szCs w:val="18"/>
              </w:rPr>
              <w:t>备注</w:t>
            </w: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香樟A</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胸径9-10cm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31</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2</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香樟B</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胸径10-12cm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9</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3</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香樟C</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胸径15-17cm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22</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4</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香樟D</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胸径20cm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4</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5</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香樟E</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胸径22-24cm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11</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6</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香樟F</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胸径24-25cm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7</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7</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香樟G</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胸径27cm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5</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8</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香樟H</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胸径40cm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9</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紫薇A</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地径5-6cm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78</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10</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紫薇B</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地径7-8cm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28</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11</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紫薇C</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地径8-9cm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154</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12</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紫薇D</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地径10cm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12</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80"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13</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桂花A</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H2-2.5m，P2-2.5m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（现场较多）</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r>
              <w:rPr>
                <w:rStyle w:val="87"/>
                <w:rFonts w:ascii="宋体" w:hAnsi="宋体"/>
                <w:color w:val="000000"/>
                <w:sz w:val="18"/>
                <w:szCs w:val="18"/>
              </w:rPr>
              <w:t>实测</w:t>
            </w: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14</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桂花B</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H3-4m,P2.5-3m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62</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15</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桂花C</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H4-5m,P3-4m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28</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16</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桂花D</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独杆，D5-6cm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8</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17</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桂花E</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独杆，D10cm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18</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桂花F</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独杆，D12-13cm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63</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19</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桂花G</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独杆，D17-20cm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6</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20</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栾树A</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胸径9-10cm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9</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21</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栾树B</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胸径14cm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2</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22</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银杏A</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胸径10cm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1</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23</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银杏B</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胸径14-15cm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2</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24</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雪松</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H≥10m，胸径22-24cm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87"/>
                <w:rFonts w:ascii="宋体" w:hAnsi="宋体"/>
                <w:color w:val="000000"/>
                <w:sz w:val="18"/>
                <w:szCs w:val="18"/>
              </w:rPr>
            </w:pPr>
            <w:r>
              <w:rPr>
                <w:rStyle w:val="87"/>
                <w:rFonts w:ascii="宋体" w:hAnsi="宋体"/>
                <w:color w:val="000000"/>
                <w:kern w:val="0"/>
                <w:sz w:val="18"/>
                <w:szCs w:val="18"/>
              </w:rPr>
              <w:t>9</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25</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柏树</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H6-7m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1</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26</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西府海棠</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地径7-8cm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4</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27</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高杆石楠</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胸径8-10cm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20</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28</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棕榈A</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H2-3M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7</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29</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棕榈B</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H3-4M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9</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30</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棕榈C</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H5-6M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3</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1"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31</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深山含笑</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胸径17cm</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1</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r>
        <w:tblPrEx>
          <w:tblCellMar>
            <w:top w:w="0" w:type="dxa"/>
            <w:left w:w="0" w:type="dxa"/>
            <w:bottom w:w="0" w:type="dxa"/>
            <w:right w:w="0" w:type="dxa"/>
          </w:tblCellMar>
        </w:tblPrEx>
        <w:trPr>
          <w:trHeight w:val="279"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32</w:t>
            </w:r>
          </w:p>
        </w:tc>
        <w:tc>
          <w:tcPr>
            <w:tcW w:w="160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白玉兰</w:t>
            </w:r>
          </w:p>
        </w:tc>
        <w:tc>
          <w:tcPr>
            <w:tcW w:w="23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胸径6-7</w:t>
            </w:r>
          </w:p>
        </w:tc>
        <w:tc>
          <w:tcPr>
            <w:tcW w:w="1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olor w:val="000000"/>
                <w:sz w:val="18"/>
                <w:szCs w:val="18"/>
              </w:rPr>
            </w:pPr>
            <w:r>
              <w:rPr>
                <w:rStyle w:val="87"/>
                <w:rFonts w:ascii="宋体" w:hAnsi="宋体"/>
                <w:color w:val="000000"/>
                <w:kern w:val="0"/>
                <w:sz w:val="18"/>
                <w:szCs w:val="18"/>
              </w:rPr>
              <w:t>1</w:t>
            </w:r>
          </w:p>
        </w:tc>
        <w:tc>
          <w:tcPr>
            <w:tcW w:w="19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87"/>
                <w:rFonts w:ascii="宋体" w:hAnsi="宋体"/>
                <w:color w:val="000000"/>
                <w:sz w:val="18"/>
                <w:szCs w:val="18"/>
              </w:rPr>
            </w:pPr>
          </w:p>
        </w:tc>
      </w:tr>
    </w:tbl>
    <w:p>
      <w:pPr>
        <w:spacing w:line="360" w:lineRule="auto"/>
        <w:ind w:firstLine="420"/>
        <w:rPr>
          <w:b/>
          <w:color w:val="FF0000"/>
          <w:szCs w:val="21"/>
        </w:rPr>
      </w:pPr>
    </w:p>
    <w:p>
      <w:pPr>
        <w:spacing w:line="360" w:lineRule="auto"/>
        <w:rPr>
          <w:b/>
          <w:color w:val="FF0000"/>
          <w:szCs w:val="21"/>
        </w:rPr>
      </w:pPr>
    </w:p>
    <w:p>
      <w:pPr>
        <w:spacing w:line="360" w:lineRule="auto"/>
        <w:rPr>
          <w:b/>
          <w:color w:val="FF0000"/>
          <w:szCs w:val="21"/>
        </w:rPr>
      </w:pPr>
    </w:p>
    <w:p>
      <w:pPr>
        <w:spacing w:line="360" w:lineRule="auto"/>
        <w:rPr>
          <w:b/>
          <w:color w:val="FF0000"/>
          <w:szCs w:val="21"/>
        </w:rPr>
      </w:pPr>
    </w:p>
    <w:p>
      <w:pPr>
        <w:spacing w:line="360" w:lineRule="auto"/>
        <w:rPr>
          <w:b/>
          <w:color w:val="FF0000"/>
          <w:szCs w:val="21"/>
        </w:rPr>
      </w:pPr>
    </w:p>
    <w:p>
      <w:pPr>
        <w:spacing w:line="360" w:lineRule="auto"/>
        <w:rPr>
          <w:b/>
          <w:color w:val="FF0000"/>
          <w:szCs w:val="21"/>
        </w:rPr>
      </w:pPr>
    </w:p>
    <w:p>
      <w:pPr>
        <w:spacing w:line="360" w:lineRule="auto"/>
        <w:rPr>
          <w:b/>
          <w:color w:val="FF0000"/>
          <w:szCs w:val="21"/>
        </w:rPr>
      </w:pPr>
    </w:p>
    <w:p>
      <w:pPr>
        <w:spacing w:line="360" w:lineRule="auto"/>
        <w:rPr>
          <w:b/>
          <w:color w:val="FF0000"/>
          <w:szCs w:val="21"/>
        </w:rPr>
      </w:pPr>
    </w:p>
    <w:p>
      <w:pPr>
        <w:tabs>
          <w:tab w:val="left" w:pos="3210"/>
        </w:tabs>
        <w:snapToGrid w:val="0"/>
        <w:spacing w:line="360" w:lineRule="auto"/>
        <w:ind w:firstLine="630" w:firstLineChars="300"/>
        <w:rPr>
          <w:rStyle w:val="87"/>
          <w:rFonts w:ascii="宋体" w:hAnsi="宋体"/>
          <w:bCs/>
          <w:color w:val="auto"/>
          <w:szCs w:val="21"/>
        </w:rPr>
      </w:pPr>
      <w:r>
        <w:rPr>
          <w:rStyle w:val="87"/>
          <w:rFonts w:hint="eastAsia" w:ascii="宋体" w:hAnsi="宋体"/>
          <w:bCs/>
          <w:color w:val="auto"/>
          <w:szCs w:val="21"/>
        </w:rPr>
        <w:t>（1）将上表所列苗木根据国家相关技术要求、自身经验及苗木生长情况成功移植至指定区域；</w:t>
      </w:r>
    </w:p>
    <w:p>
      <w:pPr>
        <w:tabs>
          <w:tab w:val="left" w:pos="3210"/>
        </w:tabs>
        <w:snapToGrid w:val="0"/>
        <w:spacing w:line="360" w:lineRule="auto"/>
        <w:ind w:firstLine="630" w:firstLineChars="300"/>
        <w:rPr>
          <w:rStyle w:val="87"/>
          <w:rFonts w:ascii="宋体" w:hAnsi="宋体"/>
          <w:bCs/>
          <w:color w:val="auto"/>
          <w:szCs w:val="21"/>
        </w:rPr>
      </w:pPr>
      <w:r>
        <w:rPr>
          <w:rStyle w:val="87"/>
          <w:rFonts w:hint="eastAsia" w:ascii="宋体" w:hAnsi="宋体"/>
          <w:bCs/>
          <w:color w:val="auto"/>
          <w:szCs w:val="21"/>
        </w:rPr>
        <w:t>（2）所有树种由专人负责进行挖苗，确保起挖树木的土球合格并进行草绳缠绕土球，栽植前进行修剪。修剪完毕后，由吊机装车并运至指定地点，再由吊车卸树种植。</w:t>
      </w:r>
    </w:p>
    <w:p>
      <w:pPr>
        <w:tabs>
          <w:tab w:val="left" w:pos="3210"/>
        </w:tabs>
        <w:snapToGrid w:val="0"/>
        <w:spacing w:line="360" w:lineRule="auto"/>
        <w:ind w:firstLine="630" w:firstLineChars="300"/>
        <w:rPr>
          <w:rStyle w:val="87"/>
          <w:rFonts w:ascii="宋体" w:hAnsi="宋体"/>
          <w:bCs/>
          <w:color w:val="auto"/>
          <w:szCs w:val="21"/>
        </w:rPr>
      </w:pPr>
      <w:r>
        <w:rPr>
          <w:rStyle w:val="87"/>
          <w:rFonts w:hint="eastAsia" w:ascii="宋体" w:hAnsi="宋体"/>
          <w:bCs/>
          <w:color w:val="auto"/>
          <w:szCs w:val="21"/>
        </w:rPr>
        <w:t xml:space="preserve">（3）运输时做好防护，防止苗木受损； </w:t>
      </w:r>
      <w:r>
        <w:rPr>
          <w:rStyle w:val="87"/>
          <w:rFonts w:ascii="宋体" w:hAnsi="宋体"/>
          <w:bCs/>
          <w:color w:val="auto"/>
          <w:szCs w:val="21"/>
        </w:rPr>
        <w:t xml:space="preserve"> </w:t>
      </w:r>
    </w:p>
    <w:p>
      <w:pPr>
        <w:tabs>
          <w:tab w:val="left" w:pos="3210"/>
        </w:tabs>
        <w:snapToGrid w:val="0"/>
        <w:spacing w:line="360" w:lineRule="auto"/>
        <w:ind w:firstLine="630" w:firstLineChars="300"/>
        <w:rPr>
          <w:rStyle w:val="87"/>
          <w:rFonts w:ascii="宋体" w:hAnsi="宋体"/>
          <w:bCs/>
          <w:color w:val="auto"/>
          <w:szCs w:val="21"/>
        </w:rPr>
      </w:pPr>
      <w:r>
        <w:rPr>
          <w:rStyle w:val="87"/>
          <w:rFonts w:hint="eastAsia" w:ascii="宋体" w:hAnsi="宋体"/>
          <w:bCs/>
          <w:color w:val="auto"/>
          <w:szCs w:val="21"/>
        </w:rPr>
        <w:t>（4）所有树木栽植前，由专人对土球涂抹适当的生根液，栽植完毕后，用杉木进行支撑，由专人负责各项养护（浇水、除草、治虫、施肥等），养护期为1年。</w:t>
      </w:r>
    </w:p>
    <w:p>
      <w:pPr>
        <w:tabs>
          <w:tab w:val="left" w:pos="3210"/>
        </w:tabs>
        <w:snapToGrid w:val="0"/>
        <w:spacing w:line="360" w:lineRule="auto"/>
        <w:ind w:firstLine="630" w:firstLineChars="300"/>
        <w:rPr>
          <w:rStyle w:val="87"/>
          <w:rFonts w:ascii="宋体" w:hAnsi="宋体"/>
          <w:bCs/>
          <w:color w:val="auto"/>
          <w:szCs w:val="21"/>
        </w:rPr>
      </w:pPr>
      <w:r>
        <w:rPr>
          <w:rStyle w:val="87"/>
          <w:rFonts w:hint="eastAsia" w:ascii="宋体" w:hAnsi="宋体"/>
          <w:bCs/>
          <w:color w:val="auto"/>
          <w:szCs w:val="21"/>
        </w:rPr>
        <w:t>（5）做好苗木栽植后的各种措施，以保证其成活成型。本项目养护期1年，若有苗木未成活或被损坏，应及时免费补植同种类及同规格的苗木或者按照相同品质的苗木市场价进行赔偿。</w:t>
      </w:r>
    </w:p>
    <w:p>
      <w:pPr>
        <w:spacing w:line="360" w:lineRule="auto"/>
        <w:ind w:firstLine="420"/>
        <w:rPr>
          <w:rStyle w:val="87"/>
          <w:rFonts w:ascii="宋体" w:hAnsi="宋体" w:cs="宋体"/>
          <w:bCs/>
          <w:color w:val="auto"/>
          <w:szCs w:val="21"/>
          <w:lang w:val="zh-CN"/>
        </w:rPr>
      </w:pPr>
      <w:r>
        <w:rPr>
          <w:rStyle w:val="87"/>
          <w:rFonts w:ascii="宋体" w:hAnsi="宋体" w:cs="宋体"/>
          <w:bCs/>
          <w:color w:val="auto"/>
          <w:szCs w:val="21"/>
        </w:rPr>
        <w:t>3</w:t>
      </w:r>
      <w:r>
        <w:rPr>
          <w:rStyle w:val="87"/>
          <w:rFonts w:ascii="宋体" w:hAnsi="宋体" w:cs="宋体"/>
          <w:bCs/>
          <w:color w:val="auto"/>
          <w:szCs w:val="21"/>
          <w:lang w:val="zh-CN"/>
        </w:rPr>
        <w:t>.服务期限：</w:t>
      </w:r>
      <w:r>
        <w:rPr>
          <w:rStyle w:val="87"/>
          <w:rFonts w:ascii="宋体" w:hAnsi="宋体" w:cs="宋体"/>
          <w:b/>
          <w:bCs/>
          <w:color w:val="auto"/>
          <w:szCs w:val="21"/>
          <w:lang w:val="zh-CN"/>
        </w:rPr>
        <w:t>服务期限为合同签订后</w:t>
      </w:r>
      <w:r>
        <w:rPr>
          <w:rStyle w:val="87"/>
          <w:rFonts w:ascii="宋体" w:hAnsi="宋体" w:cs="宋体"/>
          <w:b/>
          <w:bCs/>
          <w:color w:val="auto"/>
          <w:szCs w:val="21"/>
        </w:rPr>
        <w:t>30</w:t>
      </w:r>
      <w:r>
        <w:rPr>
          <w:rStyle w:val="87"/>
          <w:rFonts w:ascii="宋体" w:hAnsi="宋体" w:cs="宋体"/>
          <w:b/>
          <w:bCs/>
          <w:color w:val="auto"/>
          <w:szCs w:val="21"/>
          <w:lang w:val="zh-CN"/>
        </w:rPr>
        <w:t>天内完成，具体进场以甲方书面通知为准</w:t>
      </w:r>
      <w:r>
        <w:rPr>
          <w:rStyle w:val="87"/>
          <w:rFonts w:ascii="宋体" w:hAnsi="宋体" w:cs="宋体"/>
          <w:bCs/>
          <w:color w:val="auto"/>
          <w:szCs w:val="21"/>
          <w:lang w:val="zh-CN"/>
        </w:rPr>
        <w:t>。</w:t>
      </w:r>
    </w:p>
    <w:p>
      <w:pPr>
        <w:spacing w:line="360" w:lineRule="auto"/>
        <w:ind w:firstLine="420"/>
        <w:rPr>
          <w:rStyle w:val="87"/>
          <w:rFonts w:ascii="宋体" w:hAnsi="宋体"/>
          <w:color w:val="auto"/>
          <w:szCs w:val="21"/>
          <w:lang w:val="zh-CN"/>
        </w:rPr>
      </w:pPr>
      <w:r>
        <w:rPr>
          <w:rStyle w:val="87"/>
          <w:rFonts w:ascii="宋体" w:hAnsi="宋体" w:cs="宋体"/>
          <w:bCs/>
          <w:color w:val="auto"/>
          <w:szCs w:val="21"/>
        </w:rPr>
        <w:t>4</w:t>
      </w:r>
      <w:r>
        <w:rPr>
          <w:rStyle w:val="87"/>
          <w:rFonts w:ascii="宋体" w:hAnsi="宋体" w:cs="宋体"/>
          <w:bCs/>
          <w:color w:val="auto"/>
          <w:szCs w:val="21"/>
          <w:lang w:val="zh-CN"/>
        </w:rPr>
        <w:t>.服务地点：</w:t>
      </w:r>
      <w:r>
        <w:rPr>
          <w:rStyle w:val="87"/>
          <w:rFonts w:ascii="宋体" w:hAnsi="宋体" w:cs="宋体"/>
          <w:b/>
          <w:bCs/>
          <w:color w:val="auto"/>
          <w:szCs w:val="21"/>
          <w:lang w:val="zh-CN"/>
        </w:rPr>
        <w:t>采购方指定地点</w:t>
      </w:r>
    </w:p>
    <w:p>
      <w:pPr>
        <w:spacing w:line="360" w:lineRule="auto"/>
        <w:ind w:firstLine="422" w:firstLineChars="200"/>
        <w:rPr>
          <w:b/>
          <w:color w:val="auto"/>
          <w:szCs w:val="21"/>
        </w:rPr>
      </w:pPr>
    </w:p>
    <w:p>
      <w:pPr>
        <w:spacing w:line="360" w:lineRule="auto"/>
        <w:ind w:firstLine="422" w:firstLineChars="200"/>
        <w:rPr>
          <w:b/>
          <w:color w:val="auto"/>
          <w:szCs w:val="21"/>
        </w:rPr>
      </w:pPr>
      <w:r>
        <w:rPr>
          <w:b/>
          <w:color w:val="auto"/>
          <w:szCs w:val="21"/>
        </w:rPr>
        <w:t>3.</w:t>
      </w:r>
      <w:r>
        <w:rPr>
          <w:rFonts w:hint="eastAsia"/>
          <w:b/>
          <w:color w:val="auto"/>
          <w:szCs w:val="21"/>
        </w:rPr>
        <w:t>3</w:t>
      </w:r>
      <w:r>
        <w:rPr>
          <w:b/>
          <w:color w:val="auto"/>
          <w:szCs w:val="21"/>
        </w:rPr>
        <w:t xml:space="preserve"> 其他要求</w:t>
      </w:r>
    </w:p>
    <w:p>
      <w:pPr>
        <w:spacing w:line="360" w:lineRule="auto"/>
        <w:ind w:left="19" w:leftChars="9" w:firstLine="422" w:firstLineChars="200"/>
        <w:rPr>
          <w:rStyle w:val="87"/>
          <w:rFonts w:ascii="宋体" w:hAnsi="宋体"/>
          <w:b/>
          <w:color w:val="auto"/>
          <w:szCs w:val="21"/>
        </w:rPr>
      </w:pPr>
      <w:r>
        <w:rPr>
          <w:rStyle w:val="87"/>
          <w:rFonts w:ascii="宋体" w:hAnsi="宋体"/>
          <w:b/>
          <w:color w:val="auto"/>
          <w:szCs w:val="21"/>
        </w:rPr>
        <w:t>1.若成交单位在服务期间移植苗木死亡的，成交单位须赔偿同种同等苗木。</w:t>
      </w:r>
    </w:p>
    <w:p>
      <w:pPr>
        <w:spacing w:line="360" w:lineRule="auto"/>
        <w:ind w:left="19" w:leftChars="9" w:firstLine="420" w:firstLineChars="200"/>
        <w:rPr>
          <w:rStyle w:val="87"/>
          <w:rFonts w:ascii="宋体" w:hAnsi="宋体"/>
          <w:color w:val="auto"/>
          <w:szCs w:val="21"/>
        </w:rPr>
      </w:pPr>
      <w:r>
        <w:rPr>
          <w:bCs/>
          <w:color w:val="auto"/>
        </w:rPr>
        <w:t>2</w:t>
      </w:r>
      <w:r>
        <w:rPr>
          <w:rStyle w:val="87"/>
          <w:rFonts w:ascii="宋体" w:hAnsi="Arial"/>
          <w:color w:val="auto"/>
        </w:rPr>
        <w:t>.服务标准：合格。</w:t>
      </w:r>
    </w:p>
    <w:p>
      <w:pPr>
        <w:spacing w:line="360" w:lineRule="auto"/>
        <w:rPr>
          <w:bCs/>
          <w:color w:val="FF0000"/>
        </w:rPr>
      </w:pPr>
    </w:p>
    <w:p>
      <w:pPr>
        <w:spacing w:line="360" w:lineRule="auto"/>
        <w:rPr>
          <w:bCs/>
        </w:rPr>
      </w:pPr>
    </w:p>
    <w:p>
      <w:pPr>
        <w:snapToGrid w:val="0"/>
        <w:spacing w:line="276" w:lineRule="auto"/>
      </w:pPr>
    </w:p>
    <w:p>
      <w:pPr>
        <w:rPr>
          <w:rFonts w:asciiTheme="minorEastAsia" w:hAnsiTheme="minorEastAsia" w:eastAsiaTheme="minorEastAsia"/>
          <w:szCs w:val="21"/>
        </w:rPr>
      </w:pPr>
    </w:p>
    <w:p>
      <w:pPr>
        <w:widowControl/>
        <w:jc w:val="left"/>
        <w:rPr>
          <w:rFonts w:eastAsia="楷体"/>
          <w:b/>
          <w:sz w:val="44"/>
          <w:szCs w:val="20"/>
        </w:rPr>
      </w:pPr>
      <w:r>
        <w:rPr>
          <w:rFonts w:eastAsia="楷体"/>
          <w:sz w:val="44"/>
        </w:rPr>
        <w:br w:type="page"/>
      </w: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 xml:space="preserve">  合同主要条款</w:t>
      </w:r>
    </w:p>
    <w:p/>
    <w:p>
      <w:pPr>
        <w:pStyle w:val="16"/>
        <w:spacing w:line="360" w:lineRule="auto"/>
        <w:ind w:firstLine="420" w:firstLineChars="200"/>
        <w:rPr>
          <w:rFonts w:ascii="Times New Roman" w:hAnsi="Times New Roman"/>
          <w:szCs w:val="21"/>
        </w:rPr>
      </w:pPr>
      <w:r>
        <w:rPr>
          <w:rFonts w:hint="eastAsia" w:ascii="Times New Roman" w:hAnsi="Times New Roman"/>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szCs w:val="21"/>
        </w:rPr>
      </w:pPr>
      <w:r>
        <w:rPr>
          <w:rFonts w:hint="eastAsia" w:ascii="Times New Roman" w:hAnsi="Times New Roman"/>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40" w:name="hetongStart"/>
      <w:bookmarkEnd w:id="40"/>
      <w:r>
        <w:rPr>
          <w:rFonts w:hint="eastAsia" w:ascii="宋体" w:hAnsi="宋体"/>
          <w:sz w:val="24"/>
        </w:rPr>
        <w:t>甲方:</w:t>
      </w:r>
      <w:bookmarkStart w:id="41" w:name="purchase_name"/>
      <w:bookmarkEnd w:id="41"/>
      <w:bookmarkStart w:id="42" w:name="purchase_start"/>
      <w:bookmarkEnd w:id="42"/>
      <w:r>
        <w:rPr>
          <w:rFonts w:hint="eastAsia" w:ascii="宋体" w:hAnsi="宋体"/>
          <w:sz w:val="24"/>
        </w:rPr>
        <w:t xml:space="preserve"> 江苏开放大学</w:t>
      </w:r>
      <w:bookmarkStart w:id="43" w:name="purchase_end"/>
      <w:bookmarkEnd w:id="43"/>
    </w:p>
    <w:p>
      <w:pPr>
        <w:widowControl/>
        <w:snapToGrid w:val="0"/>
        <w:spacing w:before="19" w:line="360" w:lineRule="auto"/>
        <w:rPr>
          <w:rFonts w:ascii="宋体" w:hAnsi="宋体"/>
          <w:sz w:val="24"/>
          <w:u w:val="single"/>
        </w:rPr>
      </w:pPr>
      <w:r>
        <w:rPr>
          <w:rFonts w:hint="eastAsia" w:ascii="宋体" w:hAnsi="宋体"/>
          <w:sz w:val="24"/>
        </w:rPr>
        <w:t>乙方:</w:t>
      </w:r>
      <w:bookmarkStart w:id="44" w:name="suppliers_name"/>
      <w:bookmarkEnd w:id="44"/>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sz w:val="24"/>
          <w:u w:val="single"/>
        </w:rPr>
        <w:t>2020-ZB-XC</w:t>
      </w:r>
      <w:r>
        <w:rPr>
          <w:rFonts w:hint="eastAsia" w:ascii="宋体" w:hAnsi="宋体"/>
          <w:sz w:val="24"/>
          <w:u w:val="single"/>
          <w:lang w:val="en-US" w:eastAsia="zh-CN"/>
        </w:rPr>
        <w:t>001</w:t>
      </w:r>
      <w:r>
        <w:rPr>
          <w:rFonts w:hint="eastAsia" w:ascii="宋体" w:hAnsi="宋体"/>
          <w:sz w:val="24"/>
          <w:u w:val="single"/>
        </w:rPr>
        <w:t xml:space="preserve"> </w:t>
      </w:r>
      <w:r>
        <w:rPr>
          <w:rFonts w:hint="eastAsia" w:ascii="宋体" w:hAnsi="宋体"/>
          <w:sz w:val="24"/>
        </w:rPr>
        <w:t xml:space="preserve">的 </w:t>
      </w:r>
      <w:r>
        <w:rPr>
          <w:rFonts w:hint="eastAsia" w:ascii="宋体" w:hAnsi="宋体"/>
          <w:sz w:val="24"/>
          <w:u w:val="single"/>
        </w:rPr>
        <w:t xml:space="preserve">江苏开放大学新校区树木移栽和养护 </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0"/>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5" w:name="Ord_Seq_Name"/>
            <w:bookmarkEnd w:id="45"/>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6" w:name="Ppp_Amt_1"/>
            <w:bookmarkEnd w:id="46"/>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7" w:name="Cus_Usr"/>
            <w:bookmarkEnd w:id="47"/>
          </w:p>
          <w:p>
            <w:pPr>
              <w:spacing w:line="360" w:lineRule="auto"/>
              <w:rPr>
                <w:rFonts w:ascii="宋体" w:hAnsi="宋体"/>
                <w:sz w:val="24"/>
              </w:rPr>
            </w:pPr>
            <w:r>
              <w:rPr>
                <w:rFonts w:hint="eastAsia" w:ascii="宋体" w:hAnsi="宋体"/>
                <w:sz w:val="24"/>
              </w:rPr>
              <w:t>固定电话：</w:t>
            </w:r>
            <w:bookmarkStart w:id="48" w:name="Cus_Tel"/>
            <w:bookmarkEnd w:id="48"/>
            <w:r>
              <w:rPr>
                <w:rFonts w:hint="eastAsia" w:ascii="宋体" w:hAnsi="宋体"/>
                <w:sz w:val="24"/>
              </w:rPr>
              <w:t>移动电话：</w:t>
            </w:r>
            <w:bookmarkStart w:id="49" w:name="Cus_Mob"/>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50" w:name="Spr_Usr"/>
            <w:bookmarkEnd w:id="50"/>
          </w:p>
          <w:p>
            <w:pPr>
              <w:spacing w:line="360" w:lineRule="auto"/>
              <w:rPr>
                <w:rFonts w:ascii="宋体" w:hAnsi="宋体"/>
                <w:sz w:val="24"/>
              </w:rPr>
            </w:pPr>
            <w:r>
              <w:rPr>
                <w:rFonts w:hint="eastAsia" w:ascii="宋体" w:hAnsi="宋体"/>
                <w:sz w:val="24"/>
              </w:rPr>
              <w:t>固定电话：</w:t>
            </w:r>
            <w:bookmarkStart w:id="51" w:name="Spr_Tel"/>
            <w:bookmarkEnd w:id="51"/>
            <w:r>
              <w:rPr>
                <w:rFonts w:hint="eastAsia" w:ascii="宋体" w:hAnsi="宋体"/>
                <w:sz w:val="24"/>
              </w:rPr>
              <w:t>移动电话：</w:t>
            </w:r>
            <w:bookmarkStart w:id="52" w:name="Spr_Mob"/>
            <w:bookmarkEnd w:id="52"/>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3" w:name="Con_Location"/>
      <w:bookmarkEnd w:id="53"/>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color w:val="auto"/>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color w:val="auto"/>
          <w:sz w:val="24"/>
        </w:rPr>
      </w:pPr>
      <w:r>
        <w:rPr>
          <w:rFonts w:hint="eastAsia" w:ascii="宋体" w:hAnsi="宋体" w:cs="宋体"/>
          <w:color w:val="auto"/>
          <w:sz w:val="24"/>
        </w:rPr>
        <w:t>1、预付款：签订合同后，支付合同总价的</w:t>
      </w:r>
      <w:r>
        <w:rPr>
          <w:rFonts w:hint="eastAsia" w:ascii="宋体" w:hAnsi="宋体" w:cs="宋体"/>
          <w:color w:val="auto"/>
          <w:sz w:val="24"/>
          <w:u w:val="single"/>
        </w:rPr>
        <w:t xml:space="preserve"> </w:t>
      </w:r>
      <w:r>
        <w:rPr>
          <w:rFonts w:ascii="宋体" w:hAnsi="宋体" w:cs="宋体"/>
          <w:color w:val="auto"/>
          <w:sz w:val="24"/>
          <w:u w:val="single"/>
        </w:rPr>
        <w:t>30</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idowControl/>
        <w:snapToGrid w:val="0"/>
        <w:spacing w:before="19" w:line="360" w:lineRule="auto"/>
        <w:ind w:left="189" w:leftChars="90" w:firstLine="240" w:firstLineChars="100"/>
        <w:rPr>
          <w:rFonts w:ascii="宋体" w:hAnsi="宋体" w:cs="宋体"/>
          <w:color w:val="FF0000"/>
          <w:sz w:val="24"/>
        </w:rPr>
      </w:pPr>
      <w:r>
        <w:rPr>
          <w:rFonts w:hint="eastAsia" w:ascii="宋体" w:hAnsi="宋体" w:cs="宋体"/>
          <w:color w:val="auto"/>
          <w:sz w:val="24"/>
        </w:rPr>
        <w:t>2、</w:t>
      </w:r>
      <w:r>
        <w:rPr>
          <w:rStyle w:val="87"/>
          <w:rFonts w:hint="eastAsia" w:ascii="宋体" w:hAnsi="宋体"/>
          <w:color w:val="auto"/>
          <w:sz w:val="24"/>
        </w:rPr>
        <w:t>项目完成后支付项目总价的4</w:t>
      </w:r>
      <w:r>
        <w:rPr>
          <w:rStyle w:val="87"/>
          <w:rFonts w:ascii="宋体" w:hAnsi="宋体"/>
          <w:color w:val="auto"/>
          <w:sz w:val="24"/>
        </w:rPr>
        <w:t>0</w:t>
      </w:r>
      <w:r>
        <w:rPr>
          <w:rStyle w:val="87"/>
          <w:rFonts w:hint="eastAsia" w:ascii="宋体" w:hAnsi="宋体"/>
          <w:color w:val="auto"/>
          <w:sz w:val="24"/>
        </w:rPr>
        <w:t>%，一年养护期结束后支付最后3</w:t>
      </w:r>
      <w:r>
        <w:rPr>
          <w:rStyle w:val="87"/>
          <w:rFonts w:ascii="宋体" w:hAnsi="宋体"/>
          <w:color w:val="auto"/>
          <w:sz w:val="24"/>
        </w:rPr>
        <w:t>0</w:t>
      </w:r>
      <w:r>
        <w:rPr>
          <w:rStyle w:val="87"/>
          <w:rFonts w:hint="eastAsia" w:ascii="宋体" w:hAnsi="宋体"/>
          <w:color w:val="auto"/>
          <w:sz w:val="24"/>
        </w:rPr>
        <w:t>%尾款</w:t>
      </w:r>
      <w:r>
        <w:rPr>
          <w:rStyle w:val="87"/>
          <w:rFonts w:ascii="宋体" w:hAnsi="宋体"/>
          <w:color w:val="auto"/>
          <w:sz w:val="24"/>
        </w:rPr>
        <w:t>。</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bookmarkStart w:id="62" w:name="_GoBack"/>
      <w:bookmarkEnd w:id="62"/>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4" w:name="purchase_one_start"/>
      <w:bookmarkEnd w:id="54"/>
      <w:bookmarkStart w:id="55" w:name="purchase_name_one"/>
      <w:bookmarkEnd w:id="55"/>
      <w:r>
        <w:rPr>
          <w:rFonts w:hint="eastAsia" w:ascii="宋体" w:hAnsi="宋体"/>
          <w:b/>
          <w:sz w:val="24"/>
        </w:rPr>
        <w:t>江苏开放大学</w:t>
      </w:r>
      <w:bookmarkStart w:id="56" w:name="purchase_one_end"/>
      <w:bookmarkEnd w:id="56"/>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7" w:name="suppliers_name_one"/>
      <w:bookmarkEnd w:id="57"/>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jc w:val="left"/>
        <w:rPr>
          <w:rFonts w:ascii="宋体" w:hAnsi="宋体"/>
          <w:color w:val="FF0000"/>
          <w:sz w:val="24"/>
          <w:u w:val="single"/>
        </w:rPr>
      </w:pPr>
      <w:r>
        <w:rPr>
          <w:rFonts w:ascii="宋体" w:hAnsi="宋体"/>
          <w:color w:val="FF0000"/>
          <w:sz w:val="24"/>
          <w:u w:val="single"/>
        </w:rPr>
        <w:br w:type="page"/>
      </w:r>
    </w:p>
    <w:p>
      <w:pPr>
        <w:pStyle w:val="5"/>
        <w:jc w:val="center"/>
        <w:rPr>
          <w:rFonts w:ascii="Times New Roman" w:hAnsi="Times New Roman" w:eastAsia="楷体"/>
        </w:rPr>
      </w:pPr>
      <w:bookmarkStart w:id="5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8"/>
    </w:p>
    <w:p>
      <w:pPr>
        <w:pStyle w:val="16"/>
        <w:rPr>
          <w:rFonts w:hAnsi="宋体"/>
          <w:szCs w:val="21"/>
        </w:rPr>
      </w:pPr>
      <w:r>
        <w:rPr>
          <w:rFonts w:hAnsi="宋体"/>
          <w:b/>
          <w:bCs/>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b/>
          <w:bCs/>
          <w:szCs w:val="21"/>
        </w:rPr>
      </w:pPr>
    </w:p>
    <w:p>
      <w:pPr>
        <w:pStyle w:val="16"/>
        <w:jc w:val="center"/>
        <w:rPr>
          <w:rFonts w:hAnsi="宋体"/>
          <w:sz w:val="84"/>
          <w:szCs w:val="84"/>
        </w:rPr>
      </w:pPr>
    </w:p>
    <w:p>
      <w:pPr>
        <w:pStyle w:val="16"/>
        <w:jc w:val="center"/>
        <w:rPr>
          <w:rFonts w:hAnsi="宋体"/>
          <w:sz w:val="84"/>
          <w:szCs w:val="84"/>
        </w:rPr>
      </w:pPr>
      <w:r>
        <w:rPr>
          <w:rFonts w:hAnsi="宋体"/>
          <w:sz w:val="84"/>
          <w:szCs w:val="84"/>
        </w:rPr>
        <w:t>投标文件</w:t>
      </w:r>
    </w:p>
    <w:p>
      <w:pPr>
        <w:pStyle w:val="16"/>
        <w:rPr>
          <w:rFonts w:hAnsi="宋体"/>
          <w:b/>
          <w:bCs/>
          <w:szCs w:val="21"/>
        </w:rPr>
      </w:pPr>
    </w:p>
    <w:p>
      <w:pPr>
        <w:pStyle w:val="16"/>
        <w:rPr>
          <w:rFonts w:hAnsi="宋体"/>
          <w:b/>
          <w:bCs/>
          <w:szCs w:val="21"/>
        </w:rPr>
      </w:pPr>
    </w:p>
    <w:p>
      <w:pPr>
        <w:pStyle w:val="16"/>
        <w:rPr>
          <w:rFonts w:hAnsi="宋体"/>
          <w:b/>
          <w:bCs/>
          <w:szCs w:val="21"/>
        </w:rPr>
      </w:pPr>
    </w:p>
    <w:p>
      <w:pPr>
        <w:pStyle w:val="16"/>
        <w:rPr>
          <w:rFonts w:hAnsi="宋体"/>
          <w:b/>
          <w:bCs/>
          <w:szCs w:val="21"/>
        </w:rPr>
      </w:pPr>
    </w:p>
    <w:p>
      <w:pPr>
        <w:pStyle w:val="16"/>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pPr>
        <w:pStyle w:val="16"/>
        <w:ind w:firstLine="2142" w:firstLineChars="595"/>
        <w:rPr>
          <w:rFonts w:hAnsi="宋体"/>
          <w:sz w:val="36"/>
          <w:szCs w:val="36"/>
          <w:lang w:val="pt-BR"/>
        </w:rPr>
      </w:pPr>
    </w:p>
    <w:p>
      <w:pPr>
        <w:pStyle w:val="16"/>
        <w:rPr>
          <w:rFonts w:hAnsi="宋体"/>
          <w:sz w:val="36"/>
          <w:szCs w:val="36"/>
          <w:lang w:val="pt-BR"/>
        </w:rPr>
      </w:pPr>
    </w:p>
    <w:p>
      <w:pPr>
        <w:pStyle w:val="16"/>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月</w:t>
      </w:r>
      <w:r>
        <w:rPr>
          <w:rFonts w:hint="eastAsia" w:hAnsi="宋体"/>
          <w:b/>
          <w:sz w:val="36"/>
          <w:szCs w:val="36"/>
        </w:rPr>
        <w:t xml:space="preserve">   </w:t>
      </w:r>
      <w:r>
        <w:rPr>
          <w:rFonts w:hAnsi="宋体"/>
          <w:b/>
          <w:sz w:val="36"/>
          <w:szCs w:val="36"/>
        </w:rPr>
        <w:t>日</w:t>
      </w:r>
    </w:p>
    <w:p>
      <w:pPr>
        <w:widowControl/>
        <w:spacing w:before="156" w:beforeLines="50" w:after="156" w:afterLines="50" w:line="360" w:lineRule="auto"/>
        <w:jc w:val="center"/>
        <w:rPr>
          <w:rFonts w:ascii="宋体" w:hAnsi="宋体"/>
          <w:b/>
          <w:sz w:val="36"/>
          <w:szCs w:val="36"/>
        </w:rPr>
      </w:pP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2"/>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2"/>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2"/>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szCs w:val="21"/>
        </w:rPr>
      </w:pP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pStyle w:val="16"/>
        <w:spacing w:line="440" w:lineRule="exact"/>
        <w:ind w:firstLine="3885" w:firstLineChars="1850"/>
        <w:rPr>
          <w:rFonts w:hAnsi="宋体"/>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jc w:val="left"/>
        <w:rPr>
          <w:rFonts w:ascii="宋体" w:hAnsi="宋体"/>
          <w:b/>
          <w:szCs w:val="21"/>
        </w:rPr>
      </w:pPr>
      <w:r>
        <w:rPr>
          <w:rFonts w:ascii="宋体" w:hAnsi="宋体"/>
          <w:b/>
          <w:szCs w:val="21"/>
        </w:rPr>
        <w:br w:type="page"/>
      </w:r>
    </w:p>
    <w:p>
      <w:pPr>
        <w:pStyle w:val="16"/>
        <w:numPr>
          <w:ilvl w:val="0"/>
          <w:numId w:val="7"/>
        </w:numPr>
        <w:jc w:val="center"/>
        <w:rPr>
          <w:rFonts w:hAnsi="宋体"/>
          <w:sz w:val="36"/>
          <w:szCs w:val="36"/>
        </w:rPr>
      </w:pPr>
      <w:bookmarkStart w:id="59"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0"/>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租赁期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360" w:lineRule="auto"/>
              <w:jc w:val="center"/>
              <w:rPr>
                <w:rFonts w:hAnsi="宋体"/>
                <w:szCs w:val="21"/>
              </w:rPr>
            </w:pPr>
            <w:r>
              <w:rPr>
                <w:rFonts w:hint="eastAsia" w:hAnsi="宋体"/>
                <w:szCs w:val="21"/>
              </w:rPr>
              <w:t>投标人是否属于</w:t>
            </w:r>
          </w:p>
          <w:p>
            <w:pPr>
              <w:pStyle w:val="16"/>
              <w:spacing w:after="156" w:afterLines="50" w:line="360" w:lineRule="auto"/>
              <w:jc w:val="center"/>
              <w:rPr>
                <w:rFonts w:hAnsi="宋体"/>
                <w:szCs w:val="21"/>
              </w:rPr>
            </w:pPr>
            <w:r>
              <w:rPr>
                <w:rFonts w:hint="eastAsia" w:hAnsi="宋体"/>
                <w:szCs w:val="21"/>
              </w:rPr>
              <w:t>小微企业</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360" w:lineRule="auto"/>
              <w:jc w:val="left"/>
              <w:rPr>
                <w:rFonts w:hAnsi="宋体"/>
                <w:szCs w:val="21"/>
              </w:rPr>
            </w:pPr>
            <w:r>
              <w:rPr>
                <w:rFonts w:hAnsi="宋体" w:cs="宋体"/>
                <w:szCs w:val="21"/>
                <w:u w:val="single"/>
              </w:rPr>
              <w:t xml:space="preserve">           </w:t>
            </w:r>
            <w:r>
              <w:rPr>
                <w:rFonts w:hint="eastAsia" w:hAnsi="宋体" w:cs="宋体"/>
                <w:szCs w:val="21"/>
                <w:u w:val="single"/>
              </w:rPr>
              <w:t xml:space="preserve">   </w:t>
            </w:r>
            <w:r>
              <w:rPr>
                <w:rFonts w:hAnsi="宋体" w:cs="宋体"/>
                <w:szCs w:val="21"/>
                <w:u w:val="single"/>
              </w:rPr>
              <w:t xml:space="preserve">         </w:t>
            </w:r>
            <w:r>
              <w:rPr>
                <w:rFonts w:hint="eastAsia" w:hAnsi="宋体" w:cs="宋体"/>
                <w:szCs w:val="21"/>
              </w:rPr>
              <w:t>（</w:t>
            </w:r>
            <w:r>
              <w:rPr>
                <w:rFonts w:hint="eastAsia" w:hAnsi="宋体" w:cs="宋体"/>
                <w:szCs w:val="21"/>
                <w:lang w:val="zh-CN"/>
              </w:rPr>
              <w:t>填写“是”或“否</w:t>
            </w:r>
            <w:r>
              <w:rPr>
                <w:rFonts w:hint="eastAsia" w:hAnsi="宋体" w:cs="宋体"/>
                <w:szCs w:val="21"/>
              </w:rPr>
              <w:t>）</w:t>
            </w: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hint="eastAsia" w:ascii="宋体" w:hAnsi="宋体"/>
          <w:szCs w:val="21"/>
        </w:rPr>
        <w:t xml:space="preserve"> </w:t>
      </w:r>
      <w:r>
        <w:rPr>
          <w:rFonts w:hint="eastAsia" w:ascii="宋体" w:hAnsi="宋体"/>
          <w:szCs w:val="21"/>
          <w:u w:val="single"/>
        </w:rPr>
        <w:t xml:space="preserve">              </w:t>
      </w:r>
    </w:p>
    <w:p>
      <w:pPr>
        <w:spacing w:line="520" w:lineRule="exact"/>
        <w:ind w:firstLine="3570" w:firstLineChars="1700"/>
        <w:rPr>
          <w:rFonts w:ascii="宋体" w:hAnsi="宋体"/>
          <w:szCs w:val="21"/>
          <w:u w:val="single"/>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资格性和符合性检查响应对照及评分索引表</w:t>
      </w:r>
    </w:p>
    <w:p>
      <w:pPr>
        <w:ind w:firstLine="309"/>
        <w:rPr>
          <w:rFonts w:ascii="宋体" w:hAnsi="宋体"/>
          <w:sz w:val="24"/>
        </w:rPr>
      </w:pPr>
      <w:r>
        <w:rPr>
          <w:rFonts w:hint="eastAsia" w:ascii="宋体" w:hAnsi="宋体"/>
          <w:sz w:val="24"/>
        </w:rPr>
        <w:t>投标人全称（加盖公章）：</w:t>
      </w:r>
    </w:p>
    <w:tbl>
      <w:tblPr>
        <w:tblStyle w:val="30"/>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是否响应</w:t>
            </w:r>
          </w:p>
          <w:p>
            <w:pPr>
              <w:snapToGrid w:val="0"/>
              <w:spacing w:line="240" w:lineRule="atLeast"/>
              <w:jc w:val="center"/>
              <w:rPr>
                <w:rFonts w:ascii="幼圆" w:eastAsia="幼圆"/>
                <w:b/>
                <w:szCs w:val="21"/>
              </w:rPr>
            </w:pPr>
            <w:r>
              <w:rPr>
                <w:rFonts w:hint="eastAsia" w:ascii="幼圆" w:eastAsia="幼圆"/>
                <w:b/>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投标文件中的</w:t>
            </w:r>
          </w:p>
          <w:p>
            <w:pPr>
              <w:snapToGrid w:val="0"/>
              <w:spacing w:line="240" w:lineRule="atLeast"/>
              <w:jc w:val="center"/>
              <w:rPr>
                <w:rFonts w:ascii="幼圆" w:eastAsia="幼圆"/>
                <w:b/>
                <w:szCs w:val="21"/>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宋体" w:hAnsi="宋体"/>
                <w:b/>
                <w:bCs/>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幼圆" w:eastAsia="幼圆"/>
                <w:b/>
                <w:bCs/>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restart"/>
            <w:tcBorders>
              <w:top w:val="nil"/>
              <w:left w:val="single" w:color="000000" w:sz="4" w:space="0"/>
              <w:bottom w:val="nil"/>
              <w:right w:val="single" w:color="000000" w:sz="4" w:space="0"/>
            </w:tcBorders>
            <w:vAlign w:val="center"/>
          </w:tcPr>
          <w:p>
            <w:pPr>
              <w:widowControl/>
              <w:spacing w:line="360" w:lineRule="auto"/>
              <w:jc w:val="center"/>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bl>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widowControl/>
        <w:jc w:val="left"/>
        <w:rPr>
          <w:rFonts w:ascii="宋体" w:hAnsi="宋体"/>
          <w:b/>
          <w:sz w:val="36"/>
          <w:szCs w:val="36"/>
        </w:rPr>
      </w:pPr>
      <w:r>
        <w:rPr>
          <w:rFonts w:ascii="宋体" w:hAnsi="宋体"/>
          <w:b/>
          <w:sz w:val="36"/>
          <w:szCs w:val="36"/>
        </w:rPr>
        <w:br w:type="page"/>
      </w:r>
    </w:p>
    <w:p>
      <w:pPr>
        <w:jc w:val="center"/>
        <w:rPr>
          <w:rFonts w:ascii="宋体" w:hAnsi="宋体"/>
          <w:b/>
          <w:sz w:val="36"/>
          <w:szCs w:val="36"/>
        </w:rPr>
      </w:pPr>
      <w:r>
        <w:rPr>
          <w:rFonts w:ascii="宋体" w:hAnsi="宋体"/>
          <w:b/>
          <w:sz w:val="36"/>
          <w:szCs w:val="36"/>
        </w:rPr>
        <w:t>三、</w:t>
      </w:r>
      <w:bookmarkEnd w:id="59"/>
      <w:bookmarkStart w:id="60" w:name="_Toc157775469"/>
      <w:r>
        <w:rPr>
          <w:rFonts w:ascii="宋体" w:hAnsi="宋体"/>
          <w:b/>
          <w:sz w:val="36"/>
          <w:szCs w:val="36"/>
        </w:rPr>
        <w:t>产品质保及服务承诺书</w:t>
      </w:r>
      <w:bookmarkStart w:id="61" w:name="_Toc417892821"/>
    </w:p>
    <w:p>
      <w:pPr>
        <w:ind w:firstLine="1575" w:firstLineChars="750"/>
        <w:rPr>
          <w:rFonts w:ascii="宋体" w:hAnsi="宋体"/>
          <w:szCs w:val="21"/>
        </w:rPr>
      </w:pPr>
      <w:r>
        <w:rPr>
          <w:rFonts w:ascii="宋体" w:hAnsi="宋体"/>
          <w:szCs w:val="21"/>
        </w:rPr>
        <w:t>（格式由投标人自定、加盖投标人公章）</w:t>
      </w:r>
      <w:bookmarkEnd w:id="61"/>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p>
      <w:pPr>
        <w:pStyle w:val="16"/>
        <w:spacing w:line="360" w:lineRule="auto"/>
        <w:jc w:val="left"/>
        <w:rPr>
          <w:rFonts w:hAnsi="宋体"/>
          <w:szCs w:val="21"/>
        </w:rPr>
      </w:pPr>
    </w:p>
    <w:bookmarkEnd w:id="60"/>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jc w:val="center"/>
        <w:rPr>
          <w:rFonts w:ascii="宋体" w:hAnsi="宋体"/>
          <w:b/>
          <w:sz w:val="36"/>
          <w:szCs w:val="36"/>
        </w:rPr>
      </w:pP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jc w:val="right"/>
        <w:rPr>
          <w:rFonts w:ascii="宋体" w:hAnsi="宋体"/>
          <w:szCs w:val="21"/>
        </w:rPr>
      </w:pP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参加本项采购活动前 3 年内在经营活动中</w:t>
      </w:r>
    </w:p>
    <w:p>
      <w:pPr>
        <w:spacing w:line="440" w:lineRule="exact"/>
        <w:jc w:val="center"/>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ind w:firstLine="420"/>
        <w:rPr>
          <w:rFonts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szCs w:val="21"/>
        </w:rPr>
      </w:pP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技术偏离表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 xml:space="preserve">  招标编号：</w:t>
      </w:r>
      <w:r>
        <w:rPr>
          <w:rFonts w:hint="eastAsia" w:ascii="宋体"/>
          <w:u w:val="single"/>
        </w:rPr>
        <w:t xml:space="preserve">            </w:t>
      </w:r>
    </w:p>
    <w:p>
      <w:pPr>
        <w:spacing w:after="120"/>
        <w:ind w:firstLine="210" w:firstLineChars="100"/>
        <w:rPr>
          <w:rFonts w:ascii="宋体"/>
          <w:u w:val="single"/>
        </w:rPr>
      </w:pPr>
    </w:p>
    <w:tbl>
      <w:tblPr>
        <w:tblStyle w:val="3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sz w:val="24"/>
              </w:rPr>
            </w:pPr>
            <w:r>
              <w:rPr>
                <w:rFonts w:hint="eastAsia" w:hAnsi="宋体" w:cs="Arial"/>
                <w:sz w:val="24"/>
              </w:rPr>
              <w:t>序号</w:t>
            </w:r>
          </w:p>
        </w:tc>
        <w:tc>
          <w:tcPr>
            <w:tcW w:w="1902" w:type="dxa"/>
            <w:vAlign w:val="center"/>
          </w:tcPr>
          <w:p>
            <w:pPr>
              <w:pStyle w:val="16"/>
              <w:spacing w:line="360" w:lineRule="auto"/>
              <w:jc w:val="center"/>
              <w:rPr>
                <w:rFonts w:hAnsi="宋体" w:cs="Arial"/>
                <w:sz w:val="24"/>
              </w:rPr>
            </w:pPr>
            <w:r>
              <w:rPr>
                <w:rFonts w:hint="eastAsia" w:hAnsi="宋体" w:cs="Arial"/>
                <w:sz w:val="24"/>
              </w:rPr>
              <w:t>货物名称</w:t>
            </w:r>
          </w:p>
        </w:tc>
        <w:tc>
          <w:tcPr>
            <w:tcW w:w="1548" w:type="dxa"/>
            <w:vAlign w:val="center"/>
          </w:tcPr>
          <w:p>
            <w:pPr>
              <w:pStyle w:val="16"/>
              <w:spacing w:line="360" w:lineRule="auto"/>
              <w:jc w:val="center"/>
              <w:rPr>
                <w:rFonts w:hAnsi="宋体" w:cs="Arial"/>
                <w:sz w:val="24"/>
              </w:rPr>
            </w:pPr>
            <w:r>
              <w:rPr>
                <w:rFonts w:hint="eastAsia" w:hAnsi="宋体" w:cs="Arial"/>
                <w:sz w:val="24"/>
              </w:rPr>
              <w:t>招标要求</w:t>
            </w:r>
          </w:p>
        </w:tc>
        <w:tc>
          <w:tcPr>
            <w:tcW w:w="3272" w:type="dxa"/>
            <w:vAlign w:val="center"/>
          </w:tcPr>
          <w:p>
            <w:pPr>
              <w:pStyle w:val="16"/>
              <w:spacing w:line="360" w:lineRule="auto"/>
              <w:jc w:val="center"/>
              <w:rPr>
                <w:rFonts w:hAnsi="宋体" w:cs="Arial"/>
                <w:sz w:val="24"/>
              </w:rPr>
            </w:pPr>
            <w:r>
              <w:rPr>
                <w:rFonts w:hint="eastAsia" w:hAnsi="宋体" w:cs="Arial"/>
                <w:sz w:val="24"/>
              </w:rPr>
              <w:t>投标技术参数</w:t>
            </w:r>
          </w:p>
        </w:tc>
        <w:tc>
          <w:tcPr>
            <w:tcW w:w="1381" w:type="dxa"/>
            <w:vAlign w:val="center"/>
          </w:tcPr>
          <w:p>
            <w:pPr>
              <w:pStyle w:val="16"/>
              <w:spacing w:line="360" w:lineRule="auto"/>
              <w:jc w:val="center"/>
              <w:rPr>
                <w:rFonts w:hAnsi="宋体" w:cs="Arial"/>
                <w:sz w:val="24"/>
              </w:rPr>
            </w:pPr>
            <w:r>
              <w:rPr>
                <w:rFonts w:hint="eastAsia" w:hAnsi="宋体" w:cs="Arial"/>
                <w:sz w:val="24"/>
              </w:rPr>
              <w:t>是否</w:t>
            </w:r>
            <w:r>
              <w:rPr>
                <w:rFonts w:hAnsi="宋体" w:cs="Arial"/>
                <w:sz w:val="24"/>
              </w:rPr>
              <w:t>偏离</w:t>
            </w:r>
          </w:p>
        </w:tc>
        <w:tc>
          <w:tcPr>
            <w:tcW w:w="745" w:type="dxa"/>
            <w:vAlign w:val="center"/>
          </w:tcPr>
          <w:p>
            <w:pPr>
              <w:pStyle w:val="16"/>
              <w:spacing w:line="360" w:lineRule="auto"/>
              <w:jc w:val="center"/>
              <w:rPr>
                <w:rFonts w:hAnsi="宋体" w:cs="Arial"/>
                <w:sz w:val="24"/>
              </w:rPr>
            </w:pPr>
            <w:r>
              <w:rPr>
                <w:rFonts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bl>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须加盖报价单位公章。</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tabs>
          <w:tab w:val="left" w:pos="5812"/>
        </w:tabs>
        <w:spacing w:line="440" w:lineRule="exact"/>
        <w:ind w:firstLine="5810" w:firstLineChars="2767"/>
        <w:rPr>
          <w:rFonts w:ascii="宋体" w:hAnsi="宋体"/>
          <w:szCs w:val="21"/>
        </w:rPr>
      </w:pPr>
      <w:r>
        <w:rPr>
          <w:rFonts w:hint="eastAsia" w:ascii="宋体" w:hAnsi="宋体"/>
          <w:szCs w:val="21"/>
        </w:rPr>
        <w:t>报价单位盖章：</w:t>
      </w:r>
    </w:p>
    <w:p>
      <w:pPr>
        <w:tabs>
          <w:tab w:val="left" w:pos="5812"/>
        </w:tabs>
        <w:spacing w:line="440" w:lineRule="exact"/>
        <w:ind w:firstLine="5810" w:firstLineChars="2767"/>
        <w:rPr>
          <w:rFonts w:ascii="宋体" w:hAnsi="宋体"/>
          <w:szCs w:val="21"/>
        </w:rPr>
      </w:pPr>
      <w:r>
        <w:rPr>
          <w:rFonts w:hint="eastAsia" w:ascii="宋体" w:hAnsi="宋体"/>
          <w:szCs w:val="21"/>
        </w:rPr>
        <w:t>法人代表签字：</w:t>
      </w:r>
    </w:p>
    <w:p>
      <w:pPr>
        <w:tabs>
          <w:tab w:val="left" w:pos="5812"/>
        </w:tabs>
        <w:spacing w:line="440" w:lineRule="exact"/>
        <w:ind w:firstLine="5810" w:firstLineChars="2767"/>
        <w:rPr>
          <w:rFonts w:ascii="宋体" w:hAnsi="宋体"/>
          <w:szCs w:val="21"/>
        </w:rPr>
      </w:pPr>
    </w:p>
    <w:p>
      <w:pPr>
        <w:tabs>
          <w:tab w:val="left" w:pos="5812"/>
        </w:tabs>
        <w:spacing w:line="440" w:lineRule="exact"/>
        <w:ind w:firstLine="7700" w:firstLineChars="3667"/>
        <w:rPr>
          <w:rFonts w:ascii="宋体" w:hAnsi="宋体"/>
          <w:szCs w:val="21"/>
        </w:rPr>
      </w:pPr>
      <w:r>
        <w:rPr>
          <w:rFonts w:hint="eastAsia" w:ascii="宋体" w:hAnsi="宋体"/>
          <w:szCs w:val="21"/>
        </w:rPr>
        <w:t>年    月    日</w:t>
      </w:r>
    </w:p>
    <w:p>
      <w:pPr>
        <w:tabs>
          <w:tab w:val="left" w:pos="5812"/>
        </w:tabs>
        <w:spacing w:line="440" w:lineRule="exact"/>
        <w:ind w:firstLine="5810" w:firstLineChars="2767"/>
        <w:rPr>
          <w:rFonts w:ascii="宋体" w:hAnsi="宋体"/>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sz w:val="36"/>
          <w:szCs w:val="36"/>
        </w:rPr>
      </w:pPr>
      <w:r>
        <w:rPr>
          <w:rFonts w:hint="eastAsia" w:ascii="宋体" w:hAnsi="宋体"/>
          <w:b/>
          <w:sz w:val="36"/>
          <w:szCs w:val="36"/>
        </w:rPr>
        <w:t>项目清单及分项报价表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0"/>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sz w:val="24"/>
              </w:rPr>
            </w:pPr>
            <w:r>
              <w:rPr>
                <w:rFonts w:hint="eastAsia" w:hAnsi="宋体" w:cs="Arial"/>
                <w:sz w:val="24"/>
              </w:rPr>
              <w:t>序号</w:t>
            </w:r>
          </w:p>
        </w:tc>
        <w:tc>
          <w:tcPr>
            <w:tcW w:w="2595" w:type="dxa"/>
            <w:vAlign w:val="center"/>
          </w:tcPr>
          <w:p>
            <w:pPr>
              <w:pStyle w:val="16"/>
              <w:spacing w:line="360" w:lineRule="auto"/>
              <w:jc w:val="center"/>
              <w:rPr>
                <w:rFonts w:hAnsi="宋体" w:cs="Arial"/>
                <w:sz w:val="24"/>
              </w:rPr>
            </w:pPr>
            <w:r>
              <w:rPr>
                <w:rFonts w:hint="eastAsia" w:hAnsi="宋体" w:cs="Arial"/>
                <w:sz w:val="24"/>
              </w:rPr>
              <w:t>货物名称</w:t>
            </w:r>
          </w:p>
        </w:tc>
        <w:tc>
          <w:tcPr>
            <w:tcW w:w="1260" w:type="dxa"/>
            <w:vAlign w:val="center"/>
          </w:tcPr>
          <w:p>
            <w:pPr>
              <w:pStyle w:val="16"/>
              <w:spacing w:line="360" w:lineRule="auto"/>
              <w:jc w:val="center"/>
              <w:rPr>
                <w:rFonts w:hAnsi="宋体" w:cs="Arial"/>
                <w:sz w:val="24"/>
              </w:rPr>
            </w:pPr>
            <w:r>
              <w:rPr>
                <w:rFonts w:hint="eastAsia" w:hAnsi="宋体" w:cs="Arial"/>
                <w:sz w:val="24"/>
              </w:rPr>
              <w:t>规格型号</w:t>
            </w:r>
          </w:p>
        </w:tc>
        <w:tc>
          <w:tcPr>
            <w:tcW w:w="780" w:type="dxa"/>
            <w:vAlign w:val="center"/>
          </w:tcPr>
          <w:p>
            <w:pPr>
              <w:pStyle w:val="16"/>
              <w:spacing w:line="360" w:lineRule="auto"/>
              <w:jc w:val="center"/>
              <w:rPr>
                <w:rFonts w:hAnsi="宋体" w:cs="Arial"/>
                <w:sz w:val="24"/>
              </w:rPr>
            </w:pPr>
            <w:r>
              <w:rPr>
                <w:rFonts w:hint="eastAsia" w:hAnsi="宋体" w:cs="Arial"/>
                <w:sz w:val="24"/>
              </w:rPr>
              <w:t>单位</w:t>
            </w:r>
          </w:p>
        </w:tc>
        <w:tc>
          <w:tcPr>
            <w:tcW w:w="780" w:type="dxa"/>
            <w:vAlign w:val="center"/>
          </w:tcPr>
          <w:p>
            <w:pPr>
              <w:pStyle w:val="16"/>
              <w:spacing w:line="360" w:lineRule="auto"/>
              <w:jc w:val="center"/>
              <w:rPr>
                <w:rFonts w:hAnsi="宋体" w:cs="Arial"/>
                <w:sz w:val="24"/>
              </w:rPr>
            </w:pPr>
            <w:r>
              <w:rPr>
                <w:rFonts w:hint="eastAsia" w:hAnsi="宋体" w:cs="Arial"/>
                <w:sz w:val="24"/>
              </w:rPr>
              <w:t>数量</w:t>
            </w:r>
          </w:p>
        </w:tc>
        <w:tc>
          <w:tcPr>
            <w:tcW w:w="810" w:type="dxa"/>
            <w:vAlign w:val="center"/>
          </w:tcPr>
          <w:p>
            <w:pPr>
              <w:pStyle w:val="16"/>
              <w:spacing w:line="360" w:lineRule="auto"/>
              <w:jc w:val="center"/>
              <w:rPr>
                <w:rFonts w:hAnsi="宋体" w:cs="Arial"/>
                <w:sz w:val="24"/>
              </w:rPr>
            </w:pPr>
            <w:r>
              <w:rPr>
                <w:rFonts w:hint="eastAsia" w:hAnsi="宋体" w:cs="Arial"/>
                <w:sz w:val="24"/>
              </w:rPr>
              <w:t>单价</w:t>
            </w:r>
          </w:p>
        </w:tc>
        <w:tc>
          <w:tcPr>
            <w:tcW w:w="795" w:type="dxa"/>
            <w:vAlign w:val="center"/>
          </w:tcPr>
          <w:p>
            <w:pPr>
              <w:pStyle w:val="16"/>
              <w:spacing w:line="360" w:lineRule="auto"/>
              <w:jc w:val="center"/>
              <w:rPr>
                <w:rFonts w:hAnsi="宋体" w:cs="Arial"/>
                <w:sz w:val="24"/>
              </w:rPr>
            </w:pPr>
            <w:r>
              <w:rPr>
                <w:rFonts w:hint="eastAsia" w:hAnsi="宋体" w:cs="Arial"/>
                <w:sz w:val="24"/>
              </w:rPr>
              <w:t>合价</w:t>
            </w:r>
          </w:p>
        </w:tc>
        <w:tc>
          <w:tcPr>
            <w:tcW w:w="1671" w:type="dxa"/>
            <w:vAlign w:val="center"/>
          </w:tcPr>
          <w:p>
            <w:pPr>
              <w:pStyle w:val="16"/>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报价合计金额(人民币大写):</w:t>
      </w:r>
    </w:p>
    <w:p>
      <w:pPr>
        <w:spacing w:line="440" w:lineRule="exact"/>
        <w:ind w:firstLine="420" w:firstLineChars="200"/>
        <w:rPr>
          <w:rFonts w:ascii="宋体" w:hAnsi="宋体"/>
          <w:szCs w:val="21"/>
        </w:rPr>
      </w:pPr>
      <w:r>
        <w:rPr>
          <w:rFonts w:hint="eastAsia" w:ascii="宋体" w:hAnsi="宋体"/>
          <w:szCs w:val="21"/>
        </w:rPr>
        <w:t>报价合计金额(人民币小写):</w:t>
      </w:r>
    </w:p>
    <w:p>
      <w:pPr>
        <w:spacing w:line="440" w:lineRule="exact"/>
        <w:ind w:firstLine="420" w:firstLineChars="200"/>
        <w:rPr>
          <w:rFonts w:ascii="宋体" w:hAnsi="宋体"/>
          <w:szCs w:val="21"/>
        </w:rPr>
      </w:pPr>
      <w:r>
        <w:rPr>
          <w:rFonts w:hint="eastAsia" w:ascii="宋体" w:hAnsi="宋体"/>
          <w:szCs w:val="21"/>
        </w:rPr>
        <w:t>本报价表须机打并加盖报价单位公章，手填无效。</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5880" w:firstLineChars="2800"/>
        <w:rPr>
          <w:rFonts w:ascii="宋体" w:hAnsi="宋体"/>
          <w:szCs w:val="21"/>
        </w:rPr>
      </w:pPr>
      <w:r>
        <w:rPr>
          <w:rFonts w:hint="eastAsia" w:ascii="宋体" w:hAnsi="宋体"/>
          <w:szCs w:val="21"/>
        </w:rPr>
        <w:t>报价单位盖章：</w:t>
      </w:r>
    </w:p>
    <w:p>
      <w:pPr>
        <w:spacing w:line="440" w:lineRule="exact"/>
        <w:ind w:firstLine="5880" w:firstLineChars="2800"/>
        <w:rPr>
          <w:rFonts w:ascii="宋体" w:hAnsi="宋体"/>
          <w:szCs w:val="21"/>
        </w:rPr>
      </w:pPr>
      <w:r>
        <w:rPr>
          <w:rFonts w:hint="eastAsia" w:ascii="宋体" w:hAnsi="宋体"/>
          <w:szCs w:val="21"/>
        </w:rPr>
        <w:t>法人代表签字：</w:t>
      </w: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70"/>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71"/>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5A177733"/>
    <w:multiLevelType w:val="singleLevel"/>
    <w:tmpl w:val="5A177733"/>
    <w:lvl w:ilvl="0" w:tentative="0">
      <w:start w:val="2"/>
      <w:numFmt w:val="decimal"/>
      <w:suff w:val="nothing"/>
      <w:lvlText w:val="%1、"/>
      <w:lvlJc w:val="left"/>
    </w:lvl>
  </w:abstractNum>
  <w:abstractNum w:abstractNumId="6">
    <w:nsid w:val="656D6133"/>
    <w:multiLevelType w:val="multilevel"/>
    <w:tmpl w:val="656D6133"/>
    <w:lvl w:ilvl="0" w:tentative="0">
      <w:start w:val="2"/>
      <w:numFmt w:val="chineseCountingThousand"/>
      <w:pStyle w:val="79"/>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4C"/>
    <w:rsid w:val="00000F2F"/>
    <w:rsid w:val="0000170F"/>
    <w:rsid w:val="0000366C"/>
    <w:rsid w:val="0000447C"/>
    <w:rsid w:val="0000468A"/>
    <w:rsid w:val="00004A6B"/>
    <w:rsid w:val="0000543E"/>
    <w:rsid w:val="000054C2"/>
    <w:rsid w:val="00005AB8"/>
    <w:rsid w:val="00005E24"/>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4760"/>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49F4"/>
    <w:rsid w:val="00056342"/>
    <w:rsid w:val="00056C7C"/>
    <w:rsid w:val="00057694"/>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0597"/>
    <w:rsid w:val="00092E5A"/>
    <w:rsid w:val="000933C3"/>
    <w:rsid w:val="000939C7"/>
    <w:rsid w:val="000944CD"/>
    <w:rsid w:val="00094C04"/>
    <w:rsid w:val="000960FC"/>
    <w:rsid w:val="000965F6"/>
    <w:rsid w:val="000A0BAB"/>
    <w:rsid w:val="000A0C37"/>
    <w:rsid w:val="000A1625"/>
    <w:rsid w:val="000A1AC4"/>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B7E24"/>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D67F5"/>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0B80"/>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6E8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0B96"/>
    <w:rsid w:val="0019159C"/>
    <w:rsid w:val="0019164C"/>
    <w:rsid w:val="00192B74"/>
    <w:rsid w:val="001935B8"/>
    <w:rsid w:val="00194716"/>
    <w:rsid w:val="0019503F"/>
    <w:rsid w:val="0019558A"/>
    <w:rsid w:val="00196931"/>
    <w:rsid w:val="00196F5E"/>
    <w:rsid w:val="001A0F65"/>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4DCB"/>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FB"/>
    <w:rsid w:val="00282532"/>
    <w:rsid w:val="00283272"/>
    <w:rsid w:val="00285213"/>
    <w:rsid w:val="002852A0"/>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6C57"/>
    <w:rsid w:val="002B71BE"/>
    <w:rsid w:val="002B7835"/>
    <w:rsid w:val="002C1987"/>
    <w:rsid w:val="002C1A4F"/>
    <w:rsid w:val="002C2077"/>
    <w:rsid w:val="002C2409"/>
    <w:rsid w:val="002C3ED7"/>
    <w:rsid w:val="002C6084"/>
    <w:rsid w:val="002C63C1"/>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868"/>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3E3C"/>
    <w:rsid w:val="00354CCD"/>
    <w:rsid w:val="00355083"/>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1989"/>
    <w:rsid w:val="00382119"/>
    <w:rsid w:val="003821D9"/>
    <w:rsid w:val="00382C33"/>
    <w:rsid w:val="00382EDB"/>
    <w:rsid w:val="00382F43"/>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4F53"/>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4FB6"/>
    <w:rsid w:val="004054FC"/>
    <w:rsid w:val="00407561"/>
    <w:rsid w:val="004078D9"/>
    <w:rsid w:val="00407E51"/>
    <w:rsid w:val="00410BF8"/>
    <w:rsid w:val="00410CA5"/>
    <w:rsid w:val="00413224"/>
    <w:rsid w:val="00413F29"/>
    <w:rsid w:val="00414366"/>
    <w:rsid w:val="0041460A"/>
    <w:rsid w:val="0041535D"/>
    <w:rsid w:val="0041540A"/>
    <w:rsid w:val="004162DE"/>
    <w:rsid w:val="0041753F"/>
    <w:rsid w:val="00421033"/>
    <w:rsid w:val="004224B9"/>
    <w:rsid w:val="00424CCE"/>
    <w:rsid w:val="00425B3C"/>
    <w:rsid w:val="00425F1C"/>
    <w:rsid w:val="00427341"/>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3379"/>
    <w:rsid w:val="00464C95"/>
    <w:rsid w:val="00465048"/>
    <w:rsid w:val="0046526D"/>
    <w:rsid w:val="00470188"/>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6972"/>
    <w:rsid w:val="004C75F6"/>
    <w:rsid w:val="004C79FA"/>
    <w:rsid w:val="004D07DC"/>
    <w:rsid w:val="004D0C40"/>
    <w:rsid w:val="004D1BDC"/>
    <w:rsid w:val="004D1C31"/>
    <w:rsid w:val="004D21E9"/>
    <w:rsid w:val="004D3969"/>
    <w:rsid w:val="004D3BD2"/>
    <w:rsid w:val="004D589D"/>
    <w:rsid w:val="004D6690"/>
    <w:rsid w:val="004D696A"/>
    <w:rsid w:val="004D74BD"/>
    <w:rsid w:val="004E0000"/>
    <w:rsid w:val="004E0573"/>
    <w:rsid w:val="004E0AD3"/>
    <w:rsid w:val="004E11DB"/>
    <w:rsid w:val="004E1E45"/>
    <w:rsid w:val="004E2013"/>
    <w:rsid w:val="004E2459"/>
    <w:rsid w:val="004E3934"/>
    <w:rsid w:val="004E3A3A"/>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1769"/>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778"/>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55A1"/>
    <w:rsid w:val="005E612C"/>
    <w:rsid w:val="005E635A"/>
    <w:rsid w:val="005E6948"/>
    <w:rsid w:val="005E7460"/>
    <w:rsid w:val="005F034C"/>
    <w:rsid w:val="005F112A"/>
    <w:rsid w:val="005F2C91"/>
    <w:rsid w:val="005F3067"/>
    <w:rsid w:val="005F3DBC"/>
    <w:rsid w:val="005F6377"/>
    <w:rsid w:val="005F6665"/>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27BD3"/>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676F"/>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4C3"/>
    <w:rsid w:val="0066781F"/>
    <w:rsid w:val="0066795A"/>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A0C"/>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4A"/>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54D"/>
    <w:rsid w:val="00700609"/>
    <w:rsid w:val="0070487C"/>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0F"/>
    <w:rsid w:val="00765C37"/>
    <w:rsid w:val="0076608C"/>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43A4"/>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5B8B"/>
    <w:rsid w:val="007C604A"/>
    <w:rsid w:val="007C6549"/>
    <w:rsid w:val="007C6A5F"/>
    <w:rsid w:val="007D0F02"/>
    <w:rsid w:val="007D162B"/>
    <w:rsid w:val="007D170A"/>
    <w:rsid w:val="007D1F0D"/>
    <w:rsid w:val="007D1F6D"/>
    <w:rsid w:val="007D513F"/>
    <w:rsid w:val="007D53F6"/>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45A"/>
    <w:rsid w:val="008323ED"/>
    <w:rsid w:val="00832C37"/>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51C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D7E"/>
    <w:rsid w:val="00881FD4"/>
    <w:rsid w:val="00882CAE"/>
    <w:rsid w:val="00882DB6"/>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434"/>
    <w:rsid w:val="00894AB4"/>
    <w:rsid w:val="00895933"/>
    <w:rsid w:val="008962BB"/>
    <w:rsid w:val="00896CA5"/>
    <w:rsid w:val="008A050D"/>
    <w:rsid w:val="008A1BFF"/>
    <w:rsid w:val="008A2303"/>
    <w:rsid w:val="008A314C"/>
    <w:rsid w:val="008A3F64"/>
    <w:rsid w:val="008A5359"/>
    <w:rsid w:val="008A5DF8"/>
    <w:rsid w:val="008A6370"/>
    <w:rsid w:val="008A6A04"/>
    <w:rsid w:val="008B0804"/>
    <w:rsid w:val="008B2859"/>
    <w:rsid w:val="008B297D"/>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399F"/>
    <w:rsid w:val="00933CE7"/>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1FF"/>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6C9"/>
    <w:rsid w:val="00A32259"/>
    <w:rsid w:val="00A3296C"/>
    <w:rsid w:val="00A32B91"/>
    <w:rsid w:val="00A33A66"/>
    <w:rsid w:val="00A33B0F"/>
    <w:rsid w:val="00A34188"/>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465A3"/>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0E25"/>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387"/>
    <w:rsid w:val="00AB5C14"/>
    <w:rsid w:val="00AC04CE"/>
    <w:rsid w:val="00AC118D"/>
    <w:rsid w:val="00AC1966"/>
    <w:rsid w:val="00AC263B"/>
    <w:rsid w:val="00AC29D6"/>
    <w:rsid w:val="00AC32B2"/>
    <w:rsid w:val="00AC35E9"/>
    <w:rsid w:val="00AC386D"/>
    <w:rsid w:val="00AC4042"/>
    <w:rsid w:val="00AC48CB"/>
    <w:rsid w:val="00AC49EC"/>
    <w:rsid w:val="00AC4CD8"/>
    <w:rsid w:val="00AC58DE"/>
    <w:rsid w:val="00AC58F4"/>
    <w:rsid w:val="00AC5A41"/>
    <w:rsid w:val="00AC6844"/>
    <w:rsid w:val="00AC6A51"/>
    <w:rsid w:val="00AC7149"/>
    <w:rsid w:val="00AC7B68"/>
    <w:rsid w:val="00AD1B4D"/>
    <w:rsid w:val="00AD1BB6"/>
    <w:rsid w:val="00AD2D21"/>
    <w:rsid w:val="00AD2EF5"/>
    <w:rsid w:val="00AD3D21"/>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1DC"/>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369A9"/>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5FC4"/>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52D"/>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739A"/>
    <w:rsid w:val="00D10405"/>
    <w:rsid w:val="00D10479"/>
    <w:rsid w:val="00D10574"/>
    <w:rsid w:val="00D11D8A"/>
    <w:rsid w:val="00D11DDB"/>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72A"/>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2C28"/>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4D7"/>
    <w:rsid w:val="00E71FD7"/>
    <w:rsid w:val="00E7217E"/>
    <w:rsid w:val="00E723D9"/>
    <w:rsid w:val="00E726E0"/>
    <w:rsid w:val="00E72761"/>
    <w:rsid w:val="00E72E93"/>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1979"/>
    <w:rsid w:val="00F120A8"/>
    <w:rsid w:val="00F13469"/>
    <w:rsid w:val="00F13B69"/>
    <w:rsid w:val="00F14C6A"/>
    <w:rsid w:val="00F174CE"/>
    <w:rsid w:val="00F1793C"/>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46F1"/>
    <w:rsid w:val="00F75542"/>
    <w:rsid w:val="00F76411"/>
    <w:rsid w:val="00F76A34"/>
    <w:rsid w:val="00F77CCC"/>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5ED6"/>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D053CD"/>
    <w:rsid w:val="03B931A1"/>
    <w:rsid w:val="03BD3559"/>
    <w:rsid w:val="03D51FF1"/>
    <w:rsid w:val="04E478AB"/>
    <w:rsid w:val="05FD31FE"/>
    <w:rsid w:val="075A2A7B"/>
    <w:rsid w:val="07FB5644"/>
    <w:rsid w:val="08126282"/>
    <w:rsid w:val="0822758F"/>
    <w:rsid w:val="08313B80"/>
    <w:rsid w:val="083D72E7"/>
    <w:rsid w:val="08CA425F"/>
    <w:rsid w:val="097F5F89"/>
    <w:rsid w:val="098A0C99"/>
    <w:rsid w:val="09A17EB4"/>
    <w:rsid w:val="0A477811"/>
    <w:rsid w:val="0ABB67CE"/>
    <w:rsid w:val="0CB83490"/>
    <w:rsid w:val="0D057A5C"/>
    <w:rsid w:val="0DF4150B"/>
    <w:rsid w:val="0E9D5567"/>
    <w:rsid w:val="0F5C5F40"/>
    <w:rsid w:val="0FB26250"/>
    <w:rsid w:val="10803F6D"/>
    <w:rsid w:val="10B173C9"/>
    <w:rsid w:val="10CD30EC"/>
    <w:rsid w:val="11B20C9C"/>
    <w:rsid w:val="1216479A"/>
    <w:rsid w:val="12416A8A"/>
    <w:rsid w:val="139A299A"/>
    <w:rsid w:val="14B55E2A"/>
    <w:rsid w:val="151A0933"/>
    <w:rsid w:val="15E87B13"/>
    <w:rsid w:val="16226CEC"/>
    <w:rsid w:val="1783171A"/>
    <w:rsid w:val="17997A18"/>
    <w:rsid w:val="18F3458F"/>
    <w:rsid w:val="194A5B2D"/>
    <w:rsid w:val="1BA32A02"/>
    <w:rsid w:val="1BC917BB"/>
    <w:rsid w:val="1C182C6F"/>
    <w:rsid w:val="1C714AB1"/>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6F62FA1"/>
    <w:rsid w:val="28074863"/>
    <w:rsid w:val="289026C9"/>
    <w:rsid w:val="28D26D93"/>
    <w:rsid w:val="29205AB8"/>
    <w:rsid w:val="2A6A6C65"/>
    <w:rsid w:val="2BF4376B"/>
    <w:rsid w:val="2C03670A"/>
    <w:rsid w:val="2C1D6781"/>
    <w:rsid w:val="2CAE5761"/>
    <w:rsid w:val="2CED5DE2"/>
    <w:rsid w:val="2D2C6371"/>
    <w:rsid w:val="2E016B8B"/>
    <w:rsid w:val="2E292A27"/>
    <w:rsid w:val="30C67B9E"/>
    <w:rsid w:val="31D05CA5"/>
    <w:rsid w:val="32CF408C"/>
    <w:rsid w:val="33A14D9B"/>
    <w:rsid w:val="33A97BD3"/>
    <w:rsid w:val="34170FAE"/>
    <w:rsid w:val="348C44C3"/>
    <w:rsid w:val="34C67B8D"/>
    <w:rsid w:val="36040988"/>
    <w:rsid w:val="368A069D"/>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20C01A2"/>
    <w:rsid w:val="429C4E56"/>
    <w:rsid w:val="436F1ACD"/>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3756B"/>
    <w:rsid w:val="50E53737"/>
    <w:rsid w:val="51432C46"/>
    <w:rsid w:val="5254321E"/>
    <w:rsid w:val="528C5CD4"/>
    <w:rsid w:val="5418599A"/>
    <w:rsid w:val="54BE1FB9"/>
    <w:rsid w:val="55BA5175"/>
    <w:rsid w:val="5622573D"/>
    <w:rsid w:val="567B46F5"/>
    <w:rsid w:val="568D7462"/>
    <w:rsid w:val="5718422D"/>
    <w:rsid w:val="577E7371"/>
    <w:rsid w:val="57B5070F"/>
    <w:rsid w:val="58127108"/>
    <w:rsid w:val="58206E3F"/>
    <w:rsid w:val="588F08FA"/>
    <w:rsid w:val="5898357A"/>
    <w:rsid w:val="589F2CFF"/>
    <w:rsid w:val="592A2799"/>
    <w:rsid w:val="599203AE"/>
    <w:rsid w:val="59936F36"/>
    <w:rsid w:val="5AB413F5"/>
    <w:rsid w:val="5B0E51CD"/>
    <w:rsid w:val="5B5A7A25"/>
    <w:rsid w:val="5BB7508E"/>
    <w:rsid w:val="5D311B6F"/>
    <w:rsid w:val="5D4D4E63"/>
    <w:rsid w:val="5E484261"/>
    <w:rsid w:val="5EA67242"/>
    <w:rsid w:val="5EF83D92"/>
    <w:rsid w:val="5F19691B"/>
    <w:rsid w:val="5F3F4D92"/>
    <w:rsid w:val="60AE1A84"/>
    <w:rsid w:val="61C845D6"/>
    <w:rsid w:val="61EA20BC"/>
    <w:rsid w:val="62ED1197"/>
    <w:rsid w:val="63595DAA"/>
    <w:rsid w:val="636A56B3"/>
    <w:rsid w:val="63A149B7"/>
    <w:rsid w:val="63A32486"/>
    <w:rsid w:val="63D36139"/>
    <w:rsid w:val="64505B48"/>
    <w:rsid w:val="64B45BE9"/>
    <w:rsid w:val="653E60A6"/>
    <w:rsid w:val="66914164"/>
    <w:rsid w:val="66F94E99"/>
    <w:rsid w:val="67437CEC"/>
    <w:rsid w:val="685873C5"/>
    <w:rsid w:val="693D2D8D"/>
    <w:rsid w:val="699E0597"/>
    <w:rsid w:val="6AC552B3"/>
    <w:rsid w:val="6AFC2413"/>
    <w:rsid w:val="6C3A7A22"/>
    <w:rsid w:val="6CBD3B33"/>
    <w:rsid w:val="6E8E12EF"/>
    <w:rsid w:val="6F1E24F8"/>
    <w:rsid w:val="6F775AB8"/>
    <w:rsid w:val="7087187F"/>
    <w:rsid w:val="71002E30"/>
    <w:rsid w:val="7222003E"/>
    <w:rsid w:val="722E1B2B"/>
    <w:rsid w:val="72674F59"/>
    <w:rsid w:val="746E74A6"/>
    <w:rsid w:val="74AC783C"/>
    <w:rsid w:val="74B53290"/>
    <w:rsid w:val="7681674A"/>
    <w:rsid w:val="774737A1"/>
    <w:rsid w:val="786268D2"/>
    <w:rsid w:val="787228C6"/>
    <w:rsid w:val="78C328A3"/>
    <w:rsid w:val="7AB913E9"/>
    <w:rsid w:val="7B11404E"/>
    <w:rsid w:val="7C1040E8"/>
    <w:rsid w:val="7EA90D0F"/>
    <w:rsid w:val="7EC93B4D"/>
    <w:rsid w:val="7FB0205B"/>
    <w:rsid w:val="7FB5502C"/>
    <w:rsid w:val="7FFD40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5"/>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7"/>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3"/>
    <w:qFormat/>
    <w:uiPriority w:val="9"/>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9"/>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41"/>
    <w:qFormat/>
    <w:uiPriority w:val="99"/>
    <w:rPr>
      <w:rFonts w:ascii="宋体" w:hAnsi="Courier New"/>
      <w:szCs w:val="20"/>
    </w:rPr>
  </w:style>
  <w:style w:type="paragraph" w:styleId="17">
    <w:name w:val="Date"/>
    <w:basedOn w:val="1"/>
    <w:next w:val="1"/>
    <w:link w:val="88"/>
    <w:semiHidden/>
    <w:unhideWhenUsed/>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43"/>
    <w:qFormat/>
    <w:uiPriority w:val="99"/>
    <w:pPr>
      <w:tabs>
        <w:tab w:val="center" w:pos="4153"/>
        <w:tab w:val="right" w:pos="8306"/>
      </w:tabs>
      <w:snapToGrid w:val="0"/>
      <w:jc w:val="left"/>
    </w:pPr>
    <w:rPr>
      <w:sz w:val="18"/>
      <w:szCs w:val="18"/>
    </w:rPr>
  </w:style>
  <w:style w:type="paragraph" w:styleId="21">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5"/>
    <w:qFormat/>
    <w:uiPriority w:val="0"/>
    <w:pPr>
      <w:spacing w:before="240" w:after="60"/>
      <w:jc w:val="center"/>
      <w:outlineLvl w:val="0"/>
    </w:pPr>
    <w:rPr>
      <w:rFonts w:ascii="Cambria" w:hAnsi="Cambria"/>
      <w:b/>
      <w:bCs/>
      <w:sz w:val="32"/>
      <w:szCs w:val="32"/>
    </w:rPr>
  </w:style>
  <w:style w:type="paragraph" w:styleId="28">
    <w:name w:val="annotation subject"/>
    <w:basedOn w:val="10"/>
    <w:next w:val="10"/>
    <w:link w:val="85"/>
    <w:semiHidden/>
    <w:unhideWhenUsed/>
    <w:qFormat/>
    <w:uiPriority w:val="0"/>
    <w:rPr>
      <w:b/>
      <w:bCs/>
    </w:rPr>
  </w:style>
  <w:style w:type="paragraph" w:styleId="29">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basedOn w:val="32"/>
    <w:qFormat/>
    <w:uiPriority w:val="99"/>
  </w:style>
  <w:style w:type="character" w:styleId="35">
    <w:name w:val="FollowedHyperlink"/>
    <w:qFormat/>
    <w:uiPriority w:val="0"/>
    <w:rPr>
      <w:color w:val="800080"/>
      <w:u w:val="single"/>
    </w:rPr>
  </w:style>
  <w:style w:type="character" w:styleId="36">
    <w:name w:val="Emphasis"/>
    <w:qFormat/>
    <w:uiPriority w:val="0"/>
    <w:rPr>
      <w:i/>
      <w:iCs/>
    </w:rPr>
  </w:style>
  <w:style w:type="character" w:styleId="37">
    <w:name w:val="Hyperlink"/>
    <w:qFormat/>
    <w:uiPriority w:val="99"/>
    <w:rPr>
      <w:color w:val="0000FF"/>
      <w:u w:val="single"/>
    </w:rPr>
  </w:style>
  <w:style w:type="character" w:styleId="38">
    <w:name w:val="annotation reference"/>
    <w:qFormat/>
    <w:uiPriority w:val="0"/>
    <w:rPr>
      <w:sz w:val="21"/>
      <w:szCs w:val="21"/>
    </w:rPr>
  </w:style>
  <w:style w:type="character" w:customStyle="1" w:styleId="39">
    <w:name w:val="列出段落 Char"/>
    <w:link w:val="40"/>
    <w:qFormat/>
    <w:uiPriority w:val="0"/>
    <w:rPr>
      <w:rFonts w:ascii="Calibri" w:hAnsi="Calibri"/>
      <w:kern w:val="2"/>
      <w:sz w:val="21"/>
      <w:szCs w:val="22"/>
    </w:rPr>
  </w:style>
  <w:style w:type="paragraph" w:customStyle="1" w:styleId="40">
    <w:name w:val="列出段落1"/>
    <w:basedOn w:val="1"/>
    <w:link w:val="39"/>
    <w:qFormat/>
    <w:uiPriority w:val="0"/>
    <w:pPr>
      <w:ind w:firstLine="420" w:firstLineChars="200"/>
    </w:pPr>
    <w:rPr>
      <w:rFonts w:ascii="Calibri" w:hAnsi="Calibri"/>
      <w:szCs w:val="22"/>
    </w:rPr>
  </w:style>
  <w:style w:type="character" w:customStyle="1" w:styleId="41">
    <w:name w:val="纯文本 字符"/>
    <w:link w:val="16"/>
    <w:qFormat/>
    <w:uiPriority w:val="0"/>
    <w:rPr>
      <w:rFonts w:ascii="宋体" w:hAnsi="Courier New" w:eastAsia="宋体"/>
      <w:kern w:val="2"/>
      <w:sz w:val="21"/>
      <w:lang w:val="en-US" w:eastAsia="zh-CN" w:bidi="ar-SA"/>
    </w:rPr>
  </w:style>
  <w:style w:type="character" w:customStyle="1" w:styleId="42">
    <w:name w:val="param-value"/>
    <w:basedOn w:val="32"/>
    <w:qFormat/>
    <w:uiPriority w:val="0"/>
  </w:style>
  <w:style w:type="character" w:customStyle="1" w:styleId="43">
    <w:name w:val="页脚 字符"/>
    <w:link w:val="20"/>
    <w:qFormat/>
    <w:uiPriority w:val="99"/>
    <w:rPr>
      <w:kern w:val="2"/>
      <w:sz w:val="18"/>
      <w:szCs w:val="18"/>
    </w:rPr>
  </w:style>
  <w:style w:type="character" w:customStyle="1" w:styleId="44">
    <w:name w:val="Font Style36"/>
    <w:qFormat/>
    <w:uiPriority w:val="0"/>
    <w:rPr>
      <w:rFonts w:ascii="宋体" w:eastAsia="宋体" w:cs="宋体"/>
      <w:sz w:val="16"/>
      <w:szCs w:val="16"/>
    </w:rPr>
  </w:style>
  <w:style w:type="character" w:customStyle="1" w:styleId="45">
    <w:name w:val="标题 字符"/>
    <w:link w:val="27"/>
    <w:qFormat/>
    <w:uiPriority w:val="0"/>
    <w:rPr>
      <w:rFonts w:ascii="Cambria" w:hAnsi="Cambria" w:cs="Times New Roman"/>
      <w:b/>
      <w:bCs/>
      <w:kern w:val="2"/>
      <w:sz w:val="32"/>
      <w:szCs w:val="32"/>
    </w:rPr>
  </w:style>
  <w:style w:type="character" w:customStyle="1" w:styleId="46">
    <w:name w:val="Font Style28"/>
    <w:qFormat/>
    <w:uiPriority w:val="0"/>
    <w:rPr>
      <w:rFonts w:ascii="Constantia" w:hAnsi="Constantia" w:cs="Constantia"/>
      <w:sz w:val="28"/>
      <w:szCs w:val="28"/>
    </w:rPr>
  </w:style>
  <w:style w:type="character" w:customStyle="1" w:styleId="47">
    <w:name w:val="Font Style30"/>
    <w:qFormat/>
    <w:uiPriority w:val="0"/>
    <w:rPr>
      <w:rFonts w:ascii="宋体" w:eastAsia="宋体" w:cs="宋体"/>
      <w:sz w:val="14"/>
      <w:szCs w:val="14"/>
    </w:rPr>
  </w:style>
  <w:style w:type="character" w:customStyle="1" w:styleId="48">
    <w:name w:val="Font Style37"/>
    <w:qFormat/>
    <w:uiPriority w:val="0"/>
    <w:rPr>
      <w:rFonts w:ascii="Arial" w:hAnsi="Arial" w:cs="Arial"/>
      <w:sz w:val="16"/>
      <w:szCs w:val="16"/>
    </w:rPr>
  </w:style>
  <w:style w:type="character" w:customStyle="1" w:styleId="49">
    <w:name w:val="标题 1 字符"/>
    <w:link w:val="2"/>
    <w:qFormat/>
    <w:uiPriority w:val="0"/>
    <w:rPr>
      <w:b/>
      <w:bCs/>
      <w:kern w:val="44"/>
      <w:sz w:val="44"/>
      <w:szCs w:val="44"/>
    </w:rPr>
  </w:style>
  <w:style w:type="character" w:customStyle="1" w:styleId="50">
    <w:name w:val="apple-converted-space"/>
    <w:qFormat/>
    <w:uiPriority w:val="0"/>
  </w:style>
  <w:style w:type="character" w:customStyle="1" w:styleId="51">
    <w:name w:val="标题 2 Char"/>
    <w:qFormat/>
    <w:uiPriority w:val="9"/>
    <w:rPr>
      <w:rFonts w:ascii="Arial" w:hAnsi="Arial" w:eastAsia="黑体"/>
      <w:b/>
      <w:kern w:val="2"/>
      <w:sz w:val="32"/>
      <w:lang w:val="en-US" w:eastAsia="zh-CN"/>
    </w:rPr>
  </w:style>
  <w:style w:type="character" w:customStyle="1" w:styleId="52">
    <w:name w:val="页眉 字符"/>
    <w:link w:val="21"/>
    <w:qFormat/>
    <w:uiPriority w:val="99"/>
    <w:rPr>
      <w:kern w:val="2"/>
      <w:sz w:val="18"/>
      <w:szCs w:val="18"/>
    </w:rPr>
  </w:style>
  <w:style w:type="character" w:customStyle="1" w:styleId="53">
    <w:name w:val="标题 5 字符"/>
    <w:link w:val="7"/>
    <w:qFormat/>
    <w:uiPriority w:val="9"/>
    <w:rPr>
      <w:b/>
      <w:bCs/>
      <w:kern w:val="2"/>
      <w:sz w:val="28"/>
      <w:szCs w:val="28"/>
    </w:rPr>
  </w:style>
  <w:style w:type="character" w:customStyle="1" w:styleId="54">
    <w:name w:val="Font Style29"/>
    <w:qFormat/>
    <w:uiPriority w:val="0"/>
    <w:rPr>
      <w:rFonts w:ascii="Arial" w:hAnsi="Arial" w:cs="Arial"/>
      <w:sz w:val="14"/>
      <w:szCs w:val="14"/>
    </w:rPr>
  </w:style>
  <w:style w:type="character" w:customStyle="1" w:styleId="55">
    <w:name w:val="标题 3 字符"/>
    <w:link w:val="5"/>
    <w:qFormat/>
    <w:uiPriority w:val="9"/>
    <w:rPr>
      <w:rFonts w:ascii="Arial" w:hAnsi="Arial"/>
      <w:b/>
      <w:kern w:val="2"/>
      <w:sz w:val="32"/>
    </w:rPr>
  </w:style>
  <w:style w:type="character" w:customStyle="1" w:styleId="56">
    <w:name w:val="style4"/>
    <w:qFormat/>
    <w:uiPriority w:val="0"/>
  </w:style>
  <w:style w:type="character" w:customStyle="1" w:styleId="57">
    <w:name w:val="标题 4 字符"/>
    <w:link w:val="6"/>
    <w:qFormat/>
    <w:uiPriority w:val="9"/>
    <w:rPr>
      <w:rFonts w:ascii="Cambria" w:hAnsi="Cambria"/>
      <w:b/>
      <w:bCs/>
      <w:kern w:val="2"/>
      <w:sz w:val="28"/>
      <w:szCs w:val="28"/>
    </w:rPr>
  </w:style>
  <w:style w:type="character" w:customStyle="1" w:styleId="58">
    <w:name w:val="Plain Text Char"/>
    <w:qFormat/>
    <w:locked/>
    <w:uiPriority w:val="0"/>
    <w:rPr>
      <w:rFonts w:ascii="宋体" w:hAnsi="Courier New" w:eastAsia="宋体"/>
      <w:kern w:val="2"/>
      <w:sz w:val="21"/>
      <w:lang w:val="en-US" w:eastAsia="zh-CN" w:bidi="ar-SA"/>
    </w:rPr>
  </w:style>
  <w:style w:type="character" w:customStyle="1" w:styleId="59">
    <w:name w:val="批注文字 字符"/>
    <w:link w:val="10"/>
    <w:qFormat/>
    <w:uiPriority w:val="99"/>
    <w:rPr>
      <w:kern w:val="2"/>
      <w:sz w:val="21"/>
      <w:szCs w:val="24"/>
    </w:rPr>
  </w:style>
  <w:style w:type="paragraph" w:customStyle="1" w:styleId="60">
    <w:name w:val="Style10"/>
    <w:basedOn w:val="1"/>
    <w:qFormat/>
    <w:uiPriority w:val="0"/>
    <w:pPr>
      <w:adjustRightInd w:val="0"/>
      <w:jc w:val="left"/>
    </w:pPr>
    <w:rPr>
      <w:rFonts w:ascii="宋体"/>
      <w:kern w:val="0"/>
      <w:sz w:val="24"/>
    </w:rPr>
  </w:style>
  <w:style w:type="paragraph" w:customStyle="1" w:styleId="61">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2">
    <w:name w:val="Style11"/>
    <w:basedOn w:val="1"/>
    <w:qFormat/>
    <w:uiPriority w:val="0"/>
    <w:pPr>
      <w:adjustRightInd w:val="0"/>
      <w:spacing w:line="446" w:lineRule="exact"/>
      <w:jc w:val="left"/>
    </w:pPr>
    <w:rPr>
      <w:rFonts w:ascii="宋体"/>
      <w:kern w:val="0"/>
      <w:sz w:val="24"/>
    </w:rPr>
  </w:style>
  <w:style w:type="paragraph" w:customStyle="1" w:styleId="6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4">
    <w:name w:val="Char Char1 Char Char Char Char Char Char"/>
    <w:basedOn w:val="1"/>
    <w:qFormat/>
    <w:uiPriority w:val="0"/>
    <w:pPr>
      <w:widowControl/>
      <w:jc w:val="center"/>
    </w:pPr>
    <w:rPr>
      <w:rFonts w:ascii="宋体" w:hAnsi="宋体"/>
      <w:b/>
      <w:kern w:val="0"/>
      <w:sz w:val="24"/>
      <w:lang w:eastAsia="en-US"/>
    </w:rPr>
  </w:style>
  <w:style w:type="paragraph" w:customStyle="1" w:styleId="65">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6">
    <w:name w:val="Style9"/>
    <w:basedOn w:val="1"/>
    <w:qFormat/>
    <w:uiPriority w:val="0"/>
    <w:pPr>
      <w:adjustRightInd w:val="0"/>
      <w:jc w:val="left"/>
    </w:pPr>
    <w:rPr>
      <w:rFonts w:ascii="宋体"/>
      <w:kern w:val="0"/>
      <w:sz w:val="24"/>
    </w:rPr>
  </w:style>
  <w:style w:type="paragraph" w:customStyle="1" w:styleId="67">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8">
    <w:name w:val="Char"/>
    <w:basedOn w:val="1"/>
    <w:qFormat/>
    <w:uiPriority w:val="0"/>
    <w:pPr>
      <w:tabs>
        <w:tab w:val="left" w:pos="360"/>
      </w:tabs>
    </w:pPr>
    <w:rPr>
      <w:sz w:val="24"/>
    </w:rPr>
  </w:style>
  <w:style w:type="paragraph" w:customStyle="1" w:styleId="6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70">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71">
    <w:name w:val="要点标题"/>
    <w:basedOn w:val="1"/>
    <w:qFormat/>
    <w:uiPriority w:val="0"/>
    <w:pPr>
      <w:numPr>
        <w:ilvl w:val="0"/>
        <w:numId w:val="2"/>
      </w:numPr>
      <w:jc w:val="left"/>
    </w:pPr>
    <w:rPr>
      <w:rFonts w:ascii="宋体" w:hAnsi="宋体"/>
      <w:b/>
      <w:sz w:val="24"/>
    </w:rPr>
  </w:style>
  <w:style w:type="paragraph" w:customStyle="1" w:styleId="72">
    <w:name w:val="默认段落字体 Para Char Char Char Char Char Char Char Char Char1 Char Char Char Char Char Char Char"/>
    <w:basedOn w:val="9"/>
    <w:qFormat/>
    <w:uiPriority w:val="0"/>
    <w:rPr>
      <w:rFonts w:ascii="Tahoma" w:hAnsi="Tahoma"/>
      <w:sz w:val="24"/>
    </w:rPr>
  </w:style>
  <w:style w:type="paragraph" w:customStyle="1" w:styleId="73">
    <w:name w:val="正文（缩进） Char1"/>
    <w:basedOn w:val="1"/>
    <w:qFormat/>
    <w:uiPriority w:val="0"/>
    <w:pPr>
      <w:spacing w:beforeLines="50" w:afterLines="50" w:line="360" w:lineRule="auto"/>
      <w:ind w:firstLine="480" w:firstLineChars="200"/>
    </w:pPr>
    <w:rPr>
      <w:sz w:val="24"/>
    </w:rPr>
  </w:style>
  <w:style w:type="paragraph" w:customStyle="1" w:styleId="74">
    <w:name w:val="Style12"/>
    <w:basedOn w:val="1"/>
    <w:qFormat/>
    <w:uiPriority w:val="0"/>
    <w:pPr>
      <w:adjustRightInd w:val="0"/>
      <w:jc w:val="left"/>
    </w:pPr>
    <w:rPr>
      <w:rFonts w:ascii="宋体"/>
      <w:kern w:val="0"/>
      <w:sz w:val="24"/>
    </w:rPr>
  </w:style>
  <w:style w:type="paragraph" w:customStyle="1" w:styleId="75">
    <w:name w:val="列出段落11"/>
    <w:basedOn w:val="1"/>
    <w:unhideWhenUsed/>
    <w:qFormat/>
    <w:uiPriority w:val="99"/>
    <w:pPr>
      <w:ind w:firstLine="420" w:firstLineChars="200"/>
    </w:pPr>
  </w:style>
  <w:style w:type="paragraph" w:customStyle="1" w:styleId="76">
    <w:name w:val="Char Char Char Char"/>
    <w:basedOn w:val="9"/>
    <w:qFormat/>
    <w:uiPriority w:val="0"/>
    <w:pPr>
      <w:adjustRightInd w:val="0"/>
      <w:snapToGrid w:val="0"/>
      <w:spacing w:line="360" w:lineRule="auto"/>
    </w:pPr>
    <w:rPr>
      <w:rFonts w:ascii="Tahoma" w:hAnsi="Tahoma"/>
      <w:sz w:val="24"/>
    </w:rPr>
  </w:style>
  <w:style w:type="paragraph" w:customStyle="1" w:styleId="77">
    <w:name w:val="Char1"/>
    <w:basedOn w:val="1"/>
    <w:qFormat/>
    <w:uiPriority w:val="0"/>
    <w:pPr>
      <w:tabs>
        <w:tab w:val="left" w:pos="840"/>
      </w:tabs>
      <w:ind w:left="840" w:hanging="420"/>
    </w:pPr>
    <w:rPr>
      <w:sz w:val="24"/>
    </w:rPr>
  </w:style>
  <w:style w:type="paragraph" w:customStyle="1" w:styleId="78">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9">
    <w:name w:val="标题1"/>
    <w:basedOn w:val="2"/>
    <w:next w:val="1"/>
    <w:qFormat/>
    <w:uiPriority w:val="0"/>
    <w:pPr>
      <w:numPr>
        <w:ilvl w:val="0"/>
        <w:numId w:val="3"/>
      </w:numPr>
      <w:adjustRightInd w:val="0"/>
      <w:spacing w:line="578" w:lineRule="atLeast"/>
      <w:jc w:val="left"/>
      <w:textAlignment w:val="baseline"/>
    </w:pPr>
  </w:style>
  <w:style w:type="paragraph" w:customStyle="1" w:styleId="80">
    <w:name w:val="正文（无缩进）"/>
    <w:basedOn w:val="1"/>
    <w:qFormat/>
    <w:uiPriority w:val="0"/>
    <w:pPr>
      <w:spacing w:line="360" w:lineRule="auto"/>
    </w:pPr>
    <w:rPr>
      <w:rFonts w:ascii="Calibri" w:hAnsi="Calibri"/>
      <w:sz w:val="24"/>
      <w:szCs w:val="21"/>
    </w:rPr>
  </w:style>
  <w:style w:type="paragraph" w:customStyle="1" w:styleId="81">
    <w:name w:val="Char2"/>
    <w:basedOn w:val="1"/>
    <w:qFormat/>
    <w:uiPriority w:val="0"/>
    <w:pPr>
      <w:tabs>
        <w:tab w:val="left" w:pos="420"/>
      </w:tabs>
      <w:ind w:left="420" w:hanging="420" w:firstLineChars="200"/>
      <w:jc w:val="left"/>
    </w:pPr>
    <w:rPr>
      <w:szCs w:val="20"/>
    </w:rPr>
  </w:style>
  <w:style w:type="paragraph" w:customStyle="1" w:styleId="8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3">
    <w:name w:val="正文_56_1"/>
    <w:qFormat/>
    <w:uiPriority w:val="0"/>
    <w:pPr>
      <w:widowControl w:val="0"/>
      <w:jc w:val="both"/>
    </w:pPr>
    <w:rPr>
      <w:rFonts w:ascii="Calibri" w:hAnsi="Calibri" w:eastAsia="宋体" w:cs="Times New Roman"/>
      <w:kern w:val="2"/>
      <w:sz w:val="21"/>
      <w:szCs w:val="22"/>
      <w:lang w:val="en-US" w:eastAsia="zh-CN" w:bidi="ar-SA"/>
    </w:rPr>
  </w:style>
  <w:style w:type="paragraph" w:styleId="84">
    <w:name w:val="List Paragraph"/>
    <w:basedOn w:val="1"/>
    <w:qFormat/>
    <w:uiPriority w:val="34"/>
    <w:pPr>
      <w:ind w:firstLine="420" w:firstLineChars="200"/>
    </w:pPr>
  </w:style>
  <w:style w:type="character" w:customStyle="1" w:styleId="85">
    <w:name w:val="批注主题 字符"/>
    <w:basedOn w:val="59"/>
    <w:link w:val="28"/>
    <w:semiHidden/>
    <w:qFormat/>
    <w:uiPriority w:val="0"/>
    <w:rPr>
      <w:rFonts w:ascii="Times New Roman" w:hAnsi="Times New Roman" w:eastAsia="宋体" w:cs="Times New Roman"/>
      <w:b/>
      <w:bCs/>
      <w:kern w:val="2"/>
      <w:sz w:val="21"/>
      <w:szCs w:val="24"/>
    </w:rPr>
  </w:style>
  <w:style w:type="table" w:customStyle="1" w:styleId="86">
    <w:name w:val="网格型1"/>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NormalCharacter"/>
    <w:semiHidden/>
    <w:qFormat/>
    <w:uiPriority w:val="0"/>
  </w:style>
  <w:style w:type="character" w:customStyle="1" w:styleId="88">
    <w:name w:val="日期 字符"/>
    <w:basedOn w:val="32"/>
    <w:link w:val="17"/>
    <w:semiHidden/>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83780C-E5E9-4B5A-9C5F-42D9A673314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1633</Words>
  <Characters>9309</Characters>
  <Lines>77</Lines>
  <Paragraphs>21</Paragraphs>
  <TotalTime>5</TotalTime>
  <ScaleCrop>false</ScaleCrop>
  <LinksUpToDate>false</LinksUpToDate>
  <CharactersWithSpaces>10921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2020-03-18T02:03:00Z</dcterms:created>
  <dc:creator>淮阴师范学院招标办</dc:creator>
  <cp:lastModifiedBy>李璐璐</cp:lastModifiedBy>
  <cp:lastPrinted>2019-05-05T01:21:00Z</cp:lastPrinted>
  <dcterms:modified xsi:type="dcterms:W3CDTF">2020-03-19T01:32:52Z</dcterms:modified>
  <dc:title>淮阴师范学院招标文件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