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1"/>
        <w:tabs>
          <w:tab w:val="center" w:pos="4476"/>
          <w:tab w:val="right" w:pos="8953"/>
        </w:tabs>
        <w:ind w:firstLine="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u w:val="single"/>
        </w:rPr>
        <w:t xml:space="preserve">     校园橱窗更换项目       </w:t>
      </w:r>
    </w:p>
    <w:p>
      <w:pPr>
        <w:spacing w:line="360" w:lineRule="auto"/>
        <w:ind w:left="630" w:leftChars="300" w:firstLine="723" w:firstLineChars="2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2019-ZB-XC0</w:t>
      </w:r>
      <w:r>
        <w:rPr>
          <w:rFonts w:hint="eastAsia" w:ascii="宋体" w:hAnsi="宋体"/>
          <w:b/>
          <w:color w:val="auto"/>
          <w:sz w:val="36"/>
          <w:u w:val="single"/>
          <w:lang w:val="en-US" w:eastAsia="zh-CN"/>
        </w:rPr>
        <w:t>53</w:t>
      </w:r>
      <w:r>
        <w:rPr>
          <w:rFonts w:hint="eastAsia" w:ascii="宋体" w:hAnsi="宋体"/>
          <w:b/>
          <w:color w:val="auto"/>
          <w:sz w:val="36"/>
          <w:u w:val="single"/>
        </w:rPr>
        <w:t xml:space="preserve">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81"/>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5"/>
        <w:spacing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为进一步加强学校宣传阵地和精神文明建设，提升学校品牌形象，充分发挥校园橱窗的教育、展示和宣传功能，增强宣传教育的时效性和校园文化审美价值，营造创建特色鲜明优势突出的高水平大学的文化氛围。我校拟在应天校区和定淮门东校区更换一批橱窗展示宣传栏，需拆除原址旧的宣传栏，重新安装符合要求的新宣传栏。</w:t>
      </w:r>
      <w:r>
        <w:rPr>
          <w:rFonts w:ascii="Times New Roman" w:hAnsi="Times New Roman" w:cs="Times New Roman"/>
          <w:color w:val="auto"/>
          <w:sz w:val="21"/>
          <w:szCs w:val="21"/>
        </w:rPr>
        <w:t>现对我校</w:t>
      </w:r>
      <w:r>
        <w:rPr>
          <w:rFonts w:hint="eastAsia" w:ascii="Times New Roman" w:hAnsi="Times New Roman" w:cs="Times New Roman"/>
          <w:color w:val="auto"/>
          <w:sz w:val="21"/>
          <w:szCs w:val="21"/>
          <w:u w:val="single"/>
        </w:rPr>
        <w:t xml:space="preserve">  校园橱窗更换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w:t>
      </w:r>
      <w:r>
        <w:rPr>
          <w:rFonts w:hint="eastAsia" w:ascii="Times New Roman" w:hAnsi="Times New Roman" w:cs="Times New Roman"/>
          <w:color w:val="auto"/>
          <w:sz w:val="21"/>
          <w:szCs w:val="21"/>
          <w:lang w:val="en-US" w:eastAsia="zh-CN"/>
        </w:rPr>
        <w:t>53</w:t>
      </w:r>
      <w:r>
        <w:rPr>
          <w:rFonts w:hint="eastAsia" w:ascii="Times New Roman" w:hAnsi="Times New Roman" w:cs="Times New Roman"/>
          <w:color w:val="auto"/>
          <w:sz w:val="21"/>
          <w:szCs w:val="21"/>
        </w:rPr>
        <w:t>。</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校园橱窗更换项目。</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项目地点：江苏开放大学（江苏城市职业学院）应天校区、定淮门东校区。</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项目预算：17万元人民币。</w:t>
      </w:r>
    </w:p>
    <w:p>
      <w:pPr>
        <w:pStyle w:val="25"/>
        <w:numPr>
          <w:ilvl w:val="0"/>
          <w:numId w:val="4"/>
        </w:numPr>
        <w:spacing w:before="0" w:beforeAutospacing="0" w:after="0" w:afterAutospacing="0" w:line="360" w:lineRule="auto"/>
        <w:ind w:firstLine="482"/>
        <w:rPr>
          <w:rFonts w:ascii="Times New Roman" w:hAnsi="Times New Roman"/>
          <w:color w:val="auto"/>
          <w:sz w:val="21"/>
          <w:szCs w:val="21"/>
        </w:rPr>
      </w:pPr>
      <w:r>
        <w:rPr>
          <w:rFonts w:hint="eastAsia" w:ascii="Times New Roman" w:hAnsi="Times New Roman" w:cs="Times New Roman"/>
          <w:color w:val="auto"/>
          <w:sz w:val="21"/>
          <w:szCs w:val="21"/>
        </w:rPr>
        <w:t>完成期限：</w:t>
      </w:r>
      <w:bookmarkStart w:id="4" w:name="_Toc455914598"/>
      <w:r>
        <w:rPr>
          <w:rFonts w:hint="eastAsia" w:ascii="Times New Roman" w:hAnsi="Times New Roman" w:cs="Times New Roman"/>
          <w:color w:val="auto"/>
          <w:sz w:val="21"/>
          <w:szCs w:val="21"/>
        </w:rPr>
        <w:t>1</w:t>
      </w:r>
      <w:r>
        <w:rPr>
          <w:rFonts w:ascii="Times New Roman" w:hAnsi="Times New Roman" w:cs="Times New Roman"/>
          <w:color w:val="auto"/>
          <w:sz w:val="21"/>
          <w:szCs w:val="21"/>
        </w:rPr>
        <w:t>5</w:t>
      </w:r>
      <w:r>
        <w:rPr>
          <w:rFonts w:hint="eastAsia" w:ascii="Times New Roman" w:hAnsi="Times New Roman" w:cs="Times New Roman"/>
          <w:color w:val="auto"/>
          <w:sz w:val="21"/>
          <w:szCs w:val="21"/>
        </w:rPr>
        <w:t>日历天。</w:t>
      </w:r>
    </w:p>
    <w:p>
      <w:pPr>
        <w:pStyle w:val="25"/>
        <w:numPr>
          <w:ilvl w:val="0"/>
          <w:numId w:val="4"/>
        </w:numPr>
        <w:spacing w:before="0" w:beforeAutospacing="0" w:after="0" w:afterAutospacing="0" w:line="360" w:lineRule="auto"/>
        <w:ind w:firstLine="482"/>
        <w:rPr>
          <w:rFonts w:ascii="Times New Roman" w:hAnsi="Times New Roman"/>
          <w:color w:val="auto"/>
          <w:sz w:val="21"/>
          <w:szCs w:val="21"/>
        </w:rPr>
      </w:pPr>
      <w:r>
        <w:rPr>
          <w:rFonts w:hint="eastAsia" w:ascii="Times New Roman" w:hAnsi="Times New Roman"/>
          <w:color w:val="auto"/>
          <w:sz w:val="21"/>
          <w:szCs w:val="21"/>
        </w:rPr>
        <w:t>免费质保期限：自验收合格之日起二年。</w:t>
      </w:r>
    </w:p>
    <w:p>
      <w:pPr>
        <w:pStyle w:val="5"/>
        <w:rPr>
          <w:color w:val="auto"/>
          <w:sz w:val="21"/>
          <w:szCs w:val="21"/>
        </w:rPr>
      </w:pPr>
      <w:r>
        <w:rPr>
          <w:color w:val="auto"/>
          <w:sz w:val="21"/>
          <w:szCs w:val="21"/>
        </w:rPr>
        <w:t>1.2投标人资质条件</w:t>
      </w:r>
      <w:bookmarkEnd w:id="4"/>
      <w:bookmarkStart w:id="5" w:name="_Toc422840930"/>
    </w:p>
    <w:bookmarkEnd w:id="5"/>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rPr>
        <w:t>1、参加本次采购活动的投标人须符合《中华人民共和国政府采购法》第二十二条之规定（详见招标文件“第五部分 投标文件格式 ——四、资格证明文件”）</w:t>
      </w:r>
      <w:r>
        <w:rPr>
          <w:rFonts w:hint="eastAsia"/>
          <w:color w:val="auto"/>
          <w:kern w:val="0"/>
          <w:szCs w:val="21"/>
          <w:lang w:eastAsia="zh-CN"/>
        </w:rPr>
        <w:t>。</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2、采购人根据采购项目的特殊要求规定的特定条件：投标人具有广告设计及策划业务资格。</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szCs w:val="21"/>
        </w:rPr>
      </w:pPr>
      <w:r>
        <w:rPr>
          <w:rFonts w:hint="eastAsia"/>
          <w:color w:val="auto"/>
          <w:kern w:val="0"/>
          <w:szCs w:val="21"/>
        </w:rPr>
        <w:t>4、本项目不接受联合体投标。</w:t>
      </w:r>
    </w:p>
    <w:p>
      <w:pPr>
        <w:pStyle w:val="5"/>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有意投标的投标人请在2019年</w:t>
      </w:r>
      <w:r>
        <w:rPr>
          <w:rFonts w:hint="eastAsia"/>
          <w:color w:val="auto"/>
          <w:lang w:val="en-US" w:eastAsia="zh-CN"/>
        </w:rPr>
        <w:t>8</w:t>
      </w:r>
      <w:r>
        <w:rPr>
          <w:rFonts w:hint="eastAsia"/>
          <w:color w:val="auto"/>
        </w:rPr>
        <w:t>月</w:t>
      </w:r>
      <w:r>
        <w:rPr>
          <w:rFonts w:hint="eastAsia"/>
          <w:color w:val="auto"/>
          <w:lang w:val="en-US" w:eastAsia="zh-CN"/>
        </w:rPr>
        <w:t>11</w:t>
      </w:r>
      <w:r>
        <w:rPr>
          <w:rFonts w:hint="eastAsia"/>
          <w:color w:val="auto"/>
        </w:rPr>
        <w:t>日下午16:00前发送单位名称、联系人、联系电话及项目编号和项目名称到2448775794@qq.com邮箱中，并在邮件标题中注明“</w:t>
      </w:r>
      <w:r>
        <w:rPr>
          <w:rFonts w:hint="eastAsia"/>
          <w:color w:val="auto"/>
          <w:szCs w:val="21"/>
        </w:rPr>
        <w:t>校园橱窗更换项目</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keepNext/>
        <w:keepLines/>
        <w:spacing w:before="260" w:after="260" w:line="413" w:lineRule="auto"/>
        <w:outlineLvl w:val="2"/>
        <w:rPr>
          <w:b/>
          <w:color w:val="auto"/>
          <w:szCs w:val="21"/>
        </w:rPr>
      </w:pPr>
      <w:bookmarkStart w:id="6" w:name="_Toc455914599"/>
      <w:r>
        <w:rPr>
          <w:rFonts w:hint="eastAsia"/>
          <w:b/>
          <w:color w:val="auto"/>
          <w:szCs w:val="21"/>
        </w:rPr>
        <w:t>1.4 现场勘查</w:t>
      </w:r>
    </w:p>
    <w:p>
      <w:pPr>
        <w:spacing w:line="360" w:lineRule="auto"/>
        <w:ind w:firstLine="420" w:firstLineChars="200"/>
        <w:rPr>
          <w:color w:val="auto"/>
          <w:szCs w:val="21"/>
        </w:rPr>
      </w:pPr>
      <w:r>
        <w:rPr>
          <w:rFonts w:hint="eastAsia"/>
          <w:color w:val="auto"/>
          <w:szCs w:val="21"/>
        </w:rPr>
        <w:t>1、现场勘察说明。</w:t>
      </w:r>
    </w:p>
    <w:p>
      <w:pPr>
        <w:spacing w:line="360" w:lineRule="auto"/>
        <w:ind w:firstLine="420" w:firstLineChars="200"/>
        <w:rPr>
          <w:color w:val="auto"/>
          <w:szCs w:val="21"/>
        </w:rPr>
      </w:pPr>
      <w:r>
        <w:rPr>
          <w:rFonts w:hint="eastAsia"/>
          <w:color w:val="auto"/>
          <w:szCs w:val="21"/>
        </w:rPr>
        <w:t>投标人可为踏勘目的进入招标人的工程项目现场，但投标人不得因此使招标人承担有关责任和损失，投标人应自行承担踏勘现场的费用、责任和风险。</w:t>
      </w:r>
    </w:p>
    <w:p>
      <w:pPr>
        <w:numPr>
          <w:ilvl w:val="0"/>
          <w:numId w:val="5"/>
        </w:numPr>
        <w:spacing w:line="360" w:lineRule="auto"/>
        <w:ind w:firstLine="420" w:firstLineChars="200"/>
        <w:rPr>
          <w:color w:val="auto"/>
          <w:szCs w:val="21"/>
        </w:rPr>
      </w:pPr>
      <w:r>
        <w:rPr>
          <w:rFonts w:hint="eastAsia"/>
          <w:color w:val="auto"/>
          <w:szCs w:val="21"/>
        </w:rPr>
        <w:t>由投标人自行现场勘查。</w:t>
      </w:r>
    </w:p>
    <w:p>
      <w:pPr>
        <w:spacing w:line="360" w:lineRule="auto"/>
        <w:ind w:firstLine="420" w:firstLineChars="200"/>
        <w:rPr>
          <w:color w:val="auto"/>
          <w:szCs w:val="21"/>
        </w:rPr>
      </w:pPr>
      <w:r>
        <w:rPr>
          <w:rFonts w:hint="eastAsia"/>
          <w:color w:val="auto"/>
          <w:szCs w:val="21"/>
        </w:rPr>
        <w:t>请务必对项目现场和周围环境进行仔细认真地查勘，在随后的招标采购项目中，对现场资料和数据所作出的推论、解释和结论及由此造成的后果由供应商负责。</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招标文件获取</w:t>
      </w:r>
      <w:bookmarkEnd w:id="6"/>
    </w:p>
    <w:p>
      <w:pPr>
        <w:spacing w:line="360" w:lineRule="auto"/>
        <w:ind w:firstLine="420" w:firstLineChars="200"/>
        <w:rPr>
          <w:color w:val="auto"/>
        </w:rPr>
      </w:pPr>
      <w:r>
        <w:rPr>
          <w:rFonts w:hint="eastAsia"/>
          <w:color w:val="auto"/>
          <w:kern w:val="0"/>
          <w:szCs w:val="21"/>
        </w:rPr>
        <w:t>即日起，投标人可至江苏开放大学首页下方（http://www.jsou.cn/）“招标公告”栏的招标公告中自行下载。</w:t>
      </w: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投标文件递交</w:t>
      </w:r>
      <w:bookmarkEnd w:id="7"/>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2019年8月</w:t>
      </w:r>
      <w:r>
        <w:rPr>
          <w:rFonts w:hint="eastAsia" w:ascii="Times New Roman" w:hAnsi="Times New Roman" w:cs="Times New Roman"/>
          <w:color w:val="auto"/>
          <w:sz w:val="21"/>
          <w:szCs w:val="21"/>
          <w:lang w:val="en-US" w:eastAsia="zh-CN"/>
        </w:rPr>
        <w:t>12</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lang w:eastAsia="zh-CN"/>
        </w:rPr>
        <w:t>一</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开标时间及地点</w:t>
      </w:r>
      <w:bookmarkEnd w:id="8"/>
      <w:bookmarkStart w:id="58" w:name="_GoBack"/>
      <w:bookmarkEnd w:id="58"/>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2"/>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2019年8月</w:t>
      </w:r>
      <w:r>
        <w:rPr>
          <w:rFonts w:hint="eastAsia" w:ascii="Times New Roman" w:hAnsi="Times New Roman" w:cs="Times New Roman"/>
          <w:color w:val="auto"/>
          <w:sz w:val="21"/>
          <w:szCs w:val="21"/>
          <w:lang w:val="en-US" w:eastAsia="zh-CN"/>
        </w:rPr>
        <w:t>12</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lang w:eastAsia="zh-CN"/>
        </w:rPr>
        <w:t>一</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2"/>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发布公告媒介</w:t>
      </w:r>
      <w:bookmarkEnd w:id="9"/>
    </w:p>
    <w:p>
      <w:pPr>
        <w:pStyle w:val="25"/>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江苏开放大学首页下方（http://www.jsou.cn/）</w:t>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9</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联系人：马老师</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联系电话：025-86265571</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联系</w:t>
      </w: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6980211"/>
      <w:bookmarkStart w:id="13" w:name="_Toc455914605"/>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spacing w:line="360" w:lineRule="auto"/>
        <w:ind w:left="42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、投标函</w:t>
      </w:r>
      <w:r>
        <w:rPr>
          <w:rFonts w:hint="eastAsia" w:ascii="Times New Roman" w:hAnsi="Times New Roman"/>
          <w:color w:val="auto"/>
          <w:szCs w:val="21"/>
        </w:rPr>
        <w:t>及开标一览表</w:t>
      </w:r>
    </w:p>
    <w:p>
      <w:pPr>
        <w:pStyle w:val="16"/>
        <w:spacing w:line="360" w:lineRule="auto"/>
        <w:ind w:left="420"/>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w:t>
      </w:r>
      <w:r>
        <w:rPr>
          <w:rFonts w:hint="eastAsia" w:ascii="Times New Roman" w:hAnsi="Times New Roman"/>
          <w:color w:val="auto"/>
          <w:szCs w:val="21"/>
        </w:rPr>
        <w:t>法定代表人资格证明书或授权委托书</w:t>
      </w:r>
    </w:p>
    <w:p>
      <w:pPr>
        <w:pStyle w:val="16"/>
        <w:spacing w:line="360" w:lineRule="auto"/>
        <w:ind w:left="42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szCs w:val="21"/>
        </w:rPr>
        <w:t>投标报价明细表及使用材料清单</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w:t>
      </w:r>
      <w:r>
        <w:rPr>
          <w:rFonts w:hint="eastAsia" w:ascii="Times New Roman" w:hAnsi="Times New Roman"/>
          <w:color w:val="auto"/>
          <w:szCs w:val="21"/>
        </w:rPr>
        <w:t>产品质保与服务承诺书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w:t>
      </w:r>
      <w:r>
        <w:rPr>
          <w:rFonts w:hint="eastAsia" w:ascii="Times New Roman" w:hAnsi="Times New Roman"/>
          <w:color w:val="auto"/>
          <w:szCs w:val="21"/>
        </w:rPr>
        <w:t>针对本项目的</w:t>
      </w:r>
      <w:r>
        <w:rPr>
          <w:rFonts w:hint="eastAsia" w:ascii="Times New Roman" w:hAnsi="Times New Roman"/>
          <w:b/>
          <w:color w:val="auto"/>
          <w:szCs w:val="21"/>
        </w:rPr>
        <w:t>设计制作安装实施方案</w:t>
      </w:r>
      <w:r>
        <w:rPr>
          <w:rFonts w:hint="eastAsia" w:ascii="Times New Roman" w:hAnsi="Times New Roman"/>
          <w:color w:val="auto"/>
          <w:szCs w:val="21"/>
        </w:rPr>
        <w:t>，以及投标人认为其他需要说明的文件</w:t>
      </w:r>
      <w:r>
        <w:rPr>
          <w:rFonts w:ascii="Times New Roman" w:hAnsi="Times New Roman"/>
          <w:color w:val="auto"/>
          <w:szCs w:val="21"/>
        </w:rPr>
        <w:t>。</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9"/>
      <w:bookmarkStart w:id="18" w:name="_Toc386980214"/>
      <w:bookmarkStart w:id="19" w:name="_Toc384844737"/>
      <w:r>
        <w:rPr>
          <w:rFonts w:hint="eastAsia" w:ascii="Times New Roman" w:hAnsi="Times New Roman"/>
          <w:color w:val="auto"/>
          <w:szCs w:val="21"/>
        </w:rPr>
        <w:t>1、投标报价为一次性报价方式，包括产品设计费、制作费、运输费、技术服务费（包括技术资料、图纸提供等）、伴随服务及相关的各种税金等全部费用。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p>
      <w:pPr>
        <w:pStyle w:val="5"/>
        <w:rPr>
          <w:rFonts w:ascii="Times New Roman" w:hAnsi="Times New Roman"/>
          <w:color w:val="auto"/>
          <w:sz w:val="21"/>
          <w:szCs w:val="21"/>
        </w:rPr>
      </w:pPr>
      <w:r>
        <w:rPr>
          <w:rFonts w:hint="eastAsia" w:ascii="Times New Roman" w:hAnsi="Times New Roman"/>
          <w:color w:val="auto"/>
          <w:sz w:val="21"/>
          <w:szCs w:val="21"/>
        </w:rPr>
        <w:t>2.4评标与定标</w:t>
      </w:r>
      <w:bookmarkEnd w:id="17"/>
      <w:bookmarkEnd w:id="18"/>
      <w:bookmarkEnd w:id="19"/>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评标工作小组在对投标人所投产品的配置、规格设计与方案、报价与售后服务以及公司业绩、信用等进行综合评分，得分最高者中标。对未中标人，将不作任何解释，标书不退回。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29"/>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59"/>
        <w:gridCol w:w="598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rPr>
            </w:pPr>
            <w:r>
              <w:rPr>
                <w:rFonts w:hint="eastAsia"/>
                <w:b/>
                <w:color w:val="auto"/>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rPr>
            </w:pPr>
            <w:r>
              <w:rPr>
                <w:rFonts w:hint="eastAsia"/>
                <w:b/>
                <w:color w:val="auto"/>
              </w:rPr>
              <w:t>评审因素</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szCs w:val="21"/>
              </w:rPr>
            </w:pPr>
            <w:r>
              <w:rPr>
                <w:rFonts w:hint="eastAsia"/>
                <w:b/>
                <w:color w:val="auto"/>
                <w:szCs w:val="21"/>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rPr>
            </w:pPr>
            <w:r>
              <w:rPr>
                <w:rFonts w:hint="eastAsia"/>
                <w:b/>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1</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bookmarkStart w:id="20" w:name="_Hlk401005359"/>
            <w:r>
              <w:rPr>
                <w:rFonts w:hint="eastAsia"/>
                <w:color w:val="auto"/>
              </w:rPr>
              <w:t>投标价格</w:t>
            </w:r>
          </w:p>
          <w:p>
            <w:pPr>
              <w:adjustRightInd w:val="0"/>
              <w:snapToGrid w:val="0"/>
              <w:jc w:val="center"/>
              <w:rPr>
                <w:color w:val="auto"/>
              </w:rPr>
            </w:pPr>
            <w:r>
              <w:rPr>
                <w:rFonts w:hint="eastAsia"/>
                <w:color w:val="auto"/>
              </w:rPr>
              <w:t>（30分）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color w:val="auto"/>
                <w:szCs w:val="21"/>
              </w:rPr>
            </w:pPr>
            <w:r>
              <w:rPr>
                <w:rFonts w:eastAsiaTheme="minorEastAsia"/>
                <w:bCs/>
                <w:color w:val="auto"/>
                <w:kern w:val="0"/>
                <w:szCs w:val="21"/>
              </w:rPr>
              <w:t>采用低价优先法计算，即满足招标文件要求且投标价格最低的投标报价为评标基准价，其价格分为满分。其他投标人的价格分按照下列公式计算（小数点保留两位）：投标报价得分=(评标基准价／投标报价)×</w:t>
            </w:r>
            <w:r>
              <w:rPr>
                <w:rFonts w:hint="eastAsia" w:eastAsiaTheme="minorEastAsia"/>
                <w:bCs/>
                <w:color w:val="auto"/>
                <w:kern w:val="0"/>
                <w:szCs w:val="21"/>
                <w:lang w:val="en-US" w:eastAsia="zh-CN"/>
              </w:rPr>
              <w:t>3</w:t>
            </w:r>
            <w:r>
              <w:rPr>
                <w:rFonts w:eastAsiaTheme="minorEastAsia"/>
                <w:bCs/>
                <w:color w:val="auto"/>
                <w:kern w:val="0"/>
                <w:szCs w:val="21"/>
              </w:rPr>
              <w:t>0。</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2.1</w:t>
            </w:r>
          </w:p>
        </w:tc>
        <w:tc>
          <w:tcPr>
            <w:tcW w:w="1559" w:type="dxa"/>
            <w:vMerge w:val="restart"/>
            <w:tcBorders>
              <w:top w:val="single" w:color="auto" w:sz="4" w:space="0"/>
              <w:left w:val="single" w:color="auto" w:sz="4" w:space="0"/>
              <w:right w:val="single" w:color="auto" w:sz="4" w:space="0"/>
            </w:tcBorders>
            <w:vAlign w:val="center"/>
          </w:tcPr>
          <w:p>
            <w:pPr>
              <w:adjustRightInd w:val="0"/>
              <w:snapToGrid w:val="0"/>
              <w:jc w:val="center"/>
              <w:rPr>
                <w:color w:val="auto"/>
              </w:rPr>
            </w:pPr>
            <w:r>
              <w:rPr>
                <w:rFonts w:hint="eastAsia"/>
                <w:color w:val="auto"/>
              </w:rPr>
              <w:t>项目方案</w:t>
            </w:r>
          </w:p>
          <w:p>
            <w:pPr>
              <w:adjustRightInd w:val="0"/>
              <w:snapToGrid w:val="0"/>
              <w:jc w:val="center"/>
              <w:rPr>
                <w:color w:val="auto"/>
              </w:rPr>
            </w:pPr>
            <w:r>
              <w:rPr>
                <w:rFonts w:hint="eastAsia"/>
                <w:color w:val="auto"/>
              </w:rPr>
              <w:t>（50分）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ascii="宋体" w:hAnsi="宋体"/>
                <w:color w:val="auto"/>
                <w:szCs w:val="21"/>
              </w:rPr>
              <w:t>项目设计方案，</w:t>
            </w:r>
            <w:r>
              <w:rPr>
                <w:rFonts w:hint="eastAsia"/>
                <w:color w:val="auto"/>
                <w:szCs w:val="21"/>
              </w:rPr>
              <w:t>方案周祥</w:t>
            </w:r>
            <w:r>
              <w:rPr>
                <w:rFonts w:hint="eastAsia" w:ascii="宋体" w:hAnsi="宋体"/>
                <w:color w:val="auto"/>
                <w:szCs w:val="21"/>
              </w:rPr>
              <w:t>得20分，</w:t>
            </w:r>
            <w:r>
              <w:rPr>
                <w:rFonts w:hint="eastAsia"/>
                <w:color w:val="auto"/>
                <w:szCs w:val="21"/>
              </w:rPr>
              <w:t>基本可行</w:t>
            </w:r>
            <w:r>
              <w:rPr>
                <w:rFonts w:hint="eastAsia" w:ascii="宋体" w:hAnsi="宋体"/>
                <w:color w:val="auto"/>
                <w:szCs w:val="21"/>
              </w:rPr>
              <w:t>得10分，其他得5分，没有不得分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left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2.2</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color w:val="auto"/>
              </w:rPr>
            </w:pP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ascii="宋体" w:hAnsi="宋体"/>
                <w:color w:val="auto"/>
                <w:szCs w:val="21"/>
              </w:rPr>
              <w:t>项目制作与安装方案，</w:t>
            </w:r>
            <w:r>
              <w:rPr>
                <w:rFonts w:hint="eastAsia"/>
                <w:color w:val="auto"/>
                <w:szCs w:val="21"/>
              </w:rPr>
              <w:t>方案完善周详</w:t>
            </w:r>
            <w:r>
              <w:rPr>
                <w:rFonts w:hint="eastAsia" w:ascii="宋体" w:hAnsi="宋体"/>
                <w:color w:val="auto"/>
                <w:szCs w:val="21"/>
              </w:rPr>
              <w:t>得20分，方案</w:t>
            </w:r>
            <w:r>
              <w:rPr>
                <w:rFonts w:hint="eastAsia"/>
                <w:color w:val="auto"/>
                <w:szCs w:val="21"/>
              </w:rPr>
              <w:t>基本可行</w:t>
            </w:r>
            <w:r>
              <w:rPr>
                <w:rFonts w:hint="eastAsia" w:ascii="宋体" w:hAnsi="宋体"/>
                <w:color w:val="auto"/>
                <w:szCs w:val="21"/>
              </w:rPr>
              <w:t>得10分，其他得5分，没有不得分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left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2.3</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color w:val="auto"/>
              </w:rPr>
            </w:pP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ascii="宋体"/>
                <w:color w:val="auto"/>
                <w:szCs w:val="21"/>
              </w:rPr>
              <w:t>项目实施</w:t>
            </w:r>
            <w:r>
              <w:rPr>
                <w:rFonts w:hint="eastAsia"/>
                <w:color w:val="auto"/>
                <w:szCs w:val="21"/>
              </w:rPr>
              <w:t>进度方案，实施进度合理</w:t>
            </w:r>
            <w:r>
              <w:rPr>
                <w:rFonts w:hint="eastAsia" w:ascii="宋体" w:hAnsi="宋体"/>
                <w:color w:val="auto"/>
                <w:szCs w:val="21"/>
              </w:rPr>
              <w:t>得10分，</w:t>
            </w:r>
            <w:r>
              <w:rPr>
                <w:rFonts w:hint="eastAsia"/>
                <w:color w:val="auto"/>
                <w:szCs w:val="21"/>
              </w:rPr>
              <w:t>基本可行</w:t>
            </w:r>
            <w:r>
              <w:rPr>
                <w:rFonts w:hint="eastAsia" w:ascii="宋体" w:hAnsi="宋体"/>
                <w:color w:val="auto"/>
                <w:szCs w:val="21"/>
              </w:rPr>
              <w:t>得5分，其他得3分，没有不得分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3.1</w:t>
            </w:r>
          </w:p>
        </w:tc>
        <w:tc>
          <w:tcPr>
            <w:tcW w:w="1559" w:type="dxa"/>
            <w:vMerge w:val="restart"/>
            <w:tcBorders>
              <w:top w:val="single" w:color="auto" w:sz="4" w:space="0"/>
              <w:left w:val="single" w:color="auto" w:sz="4" w:space="0"/>
              <w:right w:val="single" w:color="auto" w:sz="4" w:space="0"/>
            </w:tcBorders>
            <w:vAlign w:val="center"/>
          </w:tcPr>
          <w:p>
            <w:pPr>
              <w:adjustRightInd w:val="0"/>
              <w:snapToGrid w:val="0"/>
              <w:jc w:val="center"/>
              <w:rPr>
                <w:color w:val="auto"/>
              </w:rPr>
            </w:pPr>
            <w:r>
              <w:rPr>
                <w:rFonts w:hint="eastAsia"/>
                <w:color w:val="auto"/>
              </w:rPr>
              <w:t>服务质保</w:t>
            </w:r>
          </w:p>
          <w:p>
            <w:pPr>
              <w:adjustRightInd w:val="0"/>
              <w:snapToGrid w:val="0"/>
              <w:jc w:val="center"/>
              <w:rPr>
                <w:color w:val="auto"/>
              </w:rPr>
            </w:pPr>
            <w:r>
              <w:rPr>
                <w:rFonts w:hint="eastAsia"/>
                <w:color w:val="auto"/>
              </w:rPr>
              <w:t>（10分）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color w:val="auto"/>
                <w:szCs w:val="21"/>
              </w:rPr>
            </w:pPr>
            <w:r>
              <w:rPr>
                <w:rFonts w:hint="eastAsia"/>
                <w:color w:val="auto"/>
                <w:szCs w:val="21"/>
              </w:rPr>
              <w:t>项目服务</w:t>
            </w:r>
            <w:r>
              <w:rPr>
                <w:rFonts w:hint="eastAsia" w:ascii="宋体"/>
                <w:color w:val="auto"/>
                <w:szCs w:val="21"/>
              </w:rPr>
              <w:t>承诺的</w:t>
            </w:r>
            <w:r>
              <w:rPr>
                <w:rFonts w:hint="eastAsia"/>
                <w:color w:val="auto"/>
                <w:szCs w:val="21"/>
              </w:rPr>
              <w:t>保障措施，措施完善周详</w:t>
            </w:r>
            <w:r>
              <w:rPr>
                <w:rFonts w:hint="eastAsia" w:ascii="宋体" w:hAnsi="宋体"/>
                <w:color w:val="auto"/>
                <w:szCs w:val="21"/>
              </w:rPr>
              <w:t>得6分，</w:t>
            </w:r>
            <w:r>
              <w:rPr>
                <w:rFonts w:hint="eastAsia"/>
                <w:color w:val="auto"/>
                <w:szCs w:val="21"/>
              </w:rPr>
              <w:t>基本可行</w:t>
            </w:r>
            <w:r>
              <w:rPr>
                <w:rFonts w:hint="eastAsia" w:ascii="宋体" w:hAnsi="宋体"/>
                <w:color w:val="auto"/>
                <w:szCs w:val="21"/>
              </w:rPr>
              <w:t>得4分，其他得2分，没有不得分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3.2</w:t>
            </w:r>
          </w:p>
        </w:tc>
        <w:tc>
          <w:tcPr>
            <w:tcW w:w="155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color w:val="auto"/>
                <w:szCs w:val="21"/>
              </w:rPr>
              <w:t>质保期二年不得分，每增加一年得2分，最多得4分。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right="-20"/>
              <w:jc w:val="center"/>
              <w:rPr>
                <w:color w:val="auto"/>
                <w:szCs w:val="21"/>
              </w:rPr>
            </w:pPr>
            <w:r>
              <w:rPr>
                <w:rFonts w:hint="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4</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类似业绩</w:t>
            </w:r>
          </w:p>
          <w:p>
            <w:pPr>
              <w:adjustRightInd w:val="0"/>
              <w:snapToGrid w:val="0"/>
              <w:jc w:val="center"/>
              <w:rPr>
                <w:color w:val="auto"/>
              </w:rPr>
            </w:pPr>
            <w:r>
              <w:rPr>
                <w:rFonts w:hint="eastAsia"/>
                <w:color w:val="auto"/>
              </w:rPr>
              <w:t>（10分）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color w:val="auto"/>
                <w:szCs w:val="21"/>
              </w:rPr>
            </w:pPr>
            <w:r>
              <w:rPr>
                <w:rFonts w:hint="eastAsia"/>
                <w:color w:val="auto"/>
                <w:szCs w:val="21"/>
              </w:rPr>
              <w:t>投标人近三年（2017年1月1日至今）承担过的类似案例（以合同签订日期），有1个得5分，最高得10分。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right="-20"/>
              <w:jc w:val="center"/>
              <w:rPr>
                <w:color w:val="auto"/>
                <w:szCs w:val="21"/>
              </w:rPr>
            </w:pPr>
            <w:r>
              <w:rPr>
                <w:rFonts w:hint="eastAsia"/>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8337" w:type="dxa"/>
            <w:gridSpan w:val="3"/>
            <w:tcBorders>
              <w:left w:val="single" w:color="auto" w:sz="4" w:space="0"/>
              <w:right w:val="single" w:color="auto" w:sz="4" w:space="0"/>
            </w:tcBorders>
            <w:vAlign w:val="center"/>
          </w:tcPr>
          <w:p>
            <w:pPr>
              <w:adjustRightInd w:val="0"/>
              <w:snapToGrid w:val="0"/>
              <w:spacing w:line="360" w:lineRule="auto"/>
              <w:ind w:firstLine="422" w:firstLineChars="200"/>
              <w:jc w:val="center"/>
              <w:rPr>
                <w:b/>
                <w:color w:val="auto"/>
                <w:szCs w:val="21"/>
              </w:rPr>
            </w:pPr>
            <w:r>
              <w:rPr>
                <w:rFonts w:hint="eastAsia"/>
                <w:b/>
                <w:color w:val="auto"/>
                <w:szCs w:val="21"/>
              </w:rPr>
              <w:t>最终得分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100</w:t>
            </w:r>
          </w:p>
        </w:tc>
      </w:tr>
      <w:bookmarkEnd w:id="20"/>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、评标结束后，投标人可至</w:t>
      </w:r>
      <w:r>
        <w:rPr>
          <w:rFonts w:hint="eastAsia" w:ascii="Times New Roman" w:hAnsi="Times New Roman"/>
          <w:color w:val="auto"/>
          <w:szCs w:val="21"/>
        </w:rPr>
        <w:t>江苏开放大学首页下方（http://www.jsou.cn/）</w:t>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32"/>
          <w:rFonts w:ascii="Times New Roman" w:hAnsi="Times New Roman"/>
          <w:b/>
          <w:bCs w:val="0"/>
          <w:color w:val="auto"/>
          <w:sz w:val="21"/>
          <w:szCs w:val="21"/>
        </w:rPr>
      </w:pPr>
      <w:bookmarkStart w:id="21" w:name="_Toc384844738"/>
      <w:bookmarkStart w:id="22" w:name="_Toc386980215"/>
      <w:bookmarkStart w:id="23" w:name="_Toc455914610"/>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1"/>
      <w:bookmarkEnd w:id="22"/>
      <w:bookmarkEnd w:id="23"/>
      <w:bookmarkStart w:id="24" w:name="_Toc386980216"/>
      <w:bookmarkStart w:id="25" w:name="_Toc384844739"/>
      <w:bookmarkStart w:id="26"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4"/>
      <w:bookmarkEnd w:id="25"/>
      <w:bookmarkEnd w:id="26"/>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w:t>
      </w:r>
      <w:r>
        <w:rPr>
          <w:rFonts w:hint="eastAsia" w:ascii="Times New Roman" w:hAnsi="Times New Roman"/>
          <w:color w:val="auto"/>
          <w:szCs w:val="21"/>
        </w:rPr>
        <w:t>20</w:t>
      </w:r>
      <w:r>
        <w:rPr>
          <w:rFonts w:ascii="Times New Roman" w:hAnsi="Times New Roman"/>
          <w:color w:val="auto"/>
          <w:szCs w:val="21"/>
        </w:rPr>
        <w:t>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7"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7"/>
    </w:p>
    <w:p>
      <w:pPr>
        <w:pStyle w:val="16"/>
        <w:spacing w:line="360" w:lineRule="auto"/>
        <w:ind w:firstLine="420" w:firstLineChars="200"/>
        <w:rPr>
          <w:rFonts w:ascii="Times New Roman" w:hAnsi="Times New Roman"/>
          <w:color w:val="auto"/>
          <w:szCs w:val="21"/>
        </w:rPr>
      </w:pPr>
      <w:bookmarkStart w:id="28"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6、有三项及以上方案指标负偏离的；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28"/>
    <w:p>
      <w:pPr>
        <w:pStyle w:val="5"/>
        <w:rPr>
          <w:rFonts w:ascii="Times New Roman" w:hAnsi="Times New Roman"/>
          <w:color w:val="auto"/>
          <w:sz w:val="21"/>
          <w:szCs w:val="21"/>
        </w:rPr>
      </w:pPr>
      <w:bookmarkStart w:id="29" w:name="_Toc384844740"/>
      <w:bookmarkStart w:id="30" w:name="_Toc386980217"/>
      <w:bookmarkStart w:id="31"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29"/>
      <w:bookmarkEnd w:id="30"/>
      <w:r>
        <w:rPr>
          <w:rFonts w:ascii="Times New Roman" w:hAnsi="Times New Roman"/>
          <w:color w:val="auto"/>
          <w:sz w:val="21"/>
          <w:szCs w:val="21"/>
        </w:rPr>
        <w:t>签订</w:t>
      </w:r>
      <w:bookmarkEnd w:id="31"/>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2" w:name="_Toc455914616"/>
      <w:bookmarkStart w:id="33" w:name="_Toc386980218"/>
      <w:bookmarkStart w:id="34" w:name="_Toc384844741"/>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2"/>
      <w:bookmarkEnd w:id="33"/>
      <w:bookmarkEnd w:id="34"/>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w:t>
      </w:r>
      <w:r>
        <w:rPr>
          <w:rFonts w:hint="eastAsia" w:ascii="Times New Roman" w:hAnsi="Times New Roman"/>
          <w:color w:val="auto"/>
          <w:szCs w:val="21"/>
        </w:rPr>
        <w:t>需在规定时间内完成项目需求，</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bCs/>
          <w:color w:val="auto"/>
          <w:szCs w:val="21"/>
        </w:rPr>
      </w:pPr>
      <w:r>
        <w:rPr>
          <w:rFonts w:hint="eastAsia"/>
          <w:color w:val="auto"/>
          <w:szCs w:val="21"/>
        </w:rPr>
        <w:t>2、</w:t>
      </w:r>
      <w:r>
        <w:rPr>
          <w:bCs/>
          <w:color w:val="auto"/>
          <w:szCs w:val="21"/>
        </w:rPr>
        <w:t>合同签订后</w:t>
      </w:r>
      <w:r>
        <w:rPr>
          <w:rFonts w:hint="eastAsia"/>
          <w:bCs/>
          <w:color w:val="auto"/>
          <w:szCs w:val="21"/>
        </w:rPr>
        <w:t>，中标人应立即实施项目（含设计、制作、安装等）。项目实施完成并验收合格后，校方支付合同总价的 90 %；免费一年质保期结束后，支付合同总价的 5 %；免费二年质保期结束后，支付合同总价的 5 %。</w:t>
      </w:r>
    </w:p>
    <w:p>
      <w:pPr>
        <w:spacing w:line="360" w:lineRule="auto"/>
        <w:rPr>
          <w:color w:val="auto"/>
          <w:szCs w:val="21"/>
        </w:rPr>
        <w:sectPr>
          <w:pgSz w:w="11906" w:h="16838"/>
          <w:pgMar w:top="1440" w:right="1080" w:bottom="1440" w:left="1080" w:header="850" w:footer="850" w:gutter="0"/>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5" w:name="_Toc455914617"/>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5"/>
    </w:p>
    <w:p>
      <w:pPr>
        <w:pStyle w:val="5"/>
        <w:rPr>
          <w:rFonts w:ascii="Times New Roman" w:hAnsi="Times New Roman"/>
          <w:color w:val="auto"/>
          <w:sz w:val="21"/>
          <w:szCs w:val="21"/>
        </w:rPr>
      </w:pPr>
      <w:bookmarkStart w:id="36" w:name="_Toc455914619"/>
      <w:r>
        <w:rPr>
          <w:rFonts w:hint="eastAsia" w:ascii="Times New Roman" w:hAnsi="Times New Roman"/>
          <w:color w:val="auto"/>
          <w:sz w:val="21"/>
          <w:szCs w:val="21"/>
        </w:rPr>
        <w:t>3.1项目概况</w:t>
      </w:r>
    </w:p>
    <w:p>
      <w:pPr>
        <w:pStyle w:val="25"/>
        <w:spacing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为进一步加强学校宣传阵地和精神文明建设，提升学校品牌形象，充分发挥校园橱窗的教育、展示和宣传功能，增强宣传教育的时效性和校园文化审美价值，营造创建特色鲜明优势突出的高水平大学的文化氛围。我校拟在应天校区和定淮门东校区更换一批橱窗展示宣传栏，需拆除原址旧的宣传栏，重新安装符合要求的新宣传栏。</w:t>
      </w:r>
    </w:p>
    <w:p>
      <w:pPr>
        <w:pStyle w:val="5"/>
        <w:rPr>
          <w:rFonts w:ascii="Times New Roman" w:hAnsi="Times New Roman"/>
          <w:color w:val="auto"/>
          <w:sz w:val="21"/>
          <w:szCs w:val="21"/>
        </w:rPr>
      </w:pPr>
      <w:r>
        <w:rPr>
          <w:rFonts w:hint="eastAsia" w:ascii="Times New Roman" w:hAnsi="Times New Roman"/>
          <w:color w:val="auto"/>
          <w:sz w:val="21"/>
          <w:szCs w:val="21"/>
        </w:rPr>
        <w:t>3.2项目内容</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1、 在江苏开放大学（江苏城市职业学院）应天校区和定淮门东校区设计制作安装系列宣传橱窗。</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2、 宣传橱窗更换规格、数量和主要材料要求。</w:t>
      </w:r>
    </w:p>
    <w:tbl>
      <w:tblPr>
        <w:tblStyle w:val="3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93"/>
        <w:gridCol w:w="709"/>
        <w:gridCol w:w="5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校区及位置</w:t>
            </w:r>
          </w:p>
        </w:tc>
        <w:tc>
          <w:tcPr>
            <w:tcW w:w="2693"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规格</w:t>
            </w:r>
          </w:p>
        </w:tc>
        <w:tc>
          <w:tcPr>
            <w:tcW w:w="709"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数量</w:t>
            </w:r>
          </w:p>
        </w:tc>
        <w:tc>
          <w:tcPr>
            <w:tcW w:w="5034"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主要材料要求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应天校区食堂南侧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2.6米（高）*16米（长）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2套</w:t>
            </w:r>
          </w:p>
        </w:tc>
        <w:tc>
          <w:tcPr>
            <w:tcW w:w="5034" w:type="dxa"/>
            <w:vMerge w:val="restart"/>
            <w:vAlign w:val="center"/>
          </w:tcPr>
          <w:p>
            <w:pPr>
              <w:spacing w:line="360" w:lineRule="auto"/>
              <w:rPr>
                <w:rFonts w:ascii="宋体" w:hAnsi="宋体"/>
                <w:color w:val="auto"/>
                <w:szCs w:val="21"/>
                <w:lang w:val="zh-CN"/>
              </w:rPr>
            </w:pPr>
            <w:r>
              <w:rPr>
                <w:rFonts w:hint="eastAsia" w:ascii="宋体" w:hAnsi="宋体"/>
                <w:color w:val="auto"/>
                <w:szCs w:val="21"/>
                <w:lang w:val="zh-CN"/>
              </w:rPr>
              <w:t>地基为50cm*50cm钢筋混凝土结构；地脚板采用Q235钢板；大立柱、主立柱采用1.85mm厚镀锌板丝印烤漆面；箱体采用1.5mm镀锌板丝印烤漆面；合页连接箱体并配备液压杆；视窗面采用6毫米钢化玻璃；顶棚采用1.5mm镀锌板丝印烤漆面加方管加筋方式；照明采用LED上下隐藏侧光源；每个视窗安装锁具，一套内的锁具共用1把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定淮门东校区校门西侧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2.6米（高）*18米（长）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1套</w:t>
            </w:r>
          </w:p>
        </w:tc>
        <w:tc>
          <w:tcPr>
            <w:tcW w:w="5034" w:type="dxa"/>
            <w:vMerge w:val="continue"/>
            <w:vAlign w:val="center"/>
          </w:tcPr>
          <w:p>
            <w:pPr>
              <w:spacing w:line="360" w:lineRule="auto"/>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定淮门东校区教学楼南侧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2.6米（高）*25米（长）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1套</w:t>
            </w:r>
          </w:p>
        </w:tc>
        <w:tc>
          <w:tcPr>
            <w:tcW w:w="5034" w:type="dxa"/>
            <w:vMerge w:val="continue"/>
            <w:vAlign w:val="center"/>
          </w:tcPr>
          <w:p>
            <w:pPr>
              <w:spacing w:line="360" w:lineRule="auto"/>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定淮门东校区教学楼南侧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2.6米（高）*3.2米（长）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1套</w:t>
            </w:r>
          </w:p>
        </w:tc>
        <w:tc>
          <w:tcPr>
            <w:tcW w:w="5034" w:type="dxa"/>
            <w:vMerge w:val="continue"/>
            <w:vAlign w:val="center"/>
          </w:tcPr>
          <w:p>
            <w:pPr>
              <w:spacing w:line="360" w:lineRule="auto"/>
              <w:rPr>
                <w:rFonts w:ascii="宋体" w:hAnsi="宋体"/>
                <w:color w:val="auto"/>
                <w:szCs w:val="21"/>
                <w:lang w:val="zh-CN"/>
              </w:rPr>
            </w:pPr>
          </w:p>
        </w:tc>
      </w:tr>
    </w:tbl>
    <w:p>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注：实际制作以此为基准，根据造型不同可以略有差异，总长约78米。 </w:t>
      </w:r>
    </w:p>
    <w:p>
      <w:pPr>
        <w:pStyle w:val="5"/>
        <w:rPr>
          <w:rFonts w:ascii="Times New Roman" w:hAnsi="Times New Roman"/>
          <w:color w:val="auto"/>
          <w:sz w:val="21"/>
          <w:szCs w:val="21"/>
        </w:rPr>
      </w:pPr>
      <w:r>
        <w:rPr>
          <w:rFonts w:hint="eastAsia" w:ascii="Times New Roman" w:hAnsi="Times New Roman"/>
          <w:color w:val="auto"/>
          <w:sz w:val="21"/>
          <w:szCs w:val="21"/>
        </w:rPr>
        <w:t>3.3项目成果具体要求</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1、要求设计简朴新颖大方，用材美观耐用，与周边环境相协调。 </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2、需拆除原址旧的宣传栏，妥善处理废旧垃圾，拖离校园运送至合法垃圾存放处。</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3、制作工艺：橱窗基座安装牢固，接头焊接精细，烤漆部分均匀平滑，喷绘字体标识清楚，整体工艺精良。橱窗内容易更换，全部制作费用包含安装费，中标方负责安装固定和相关配套工作。</w:t>
      </w:r>
    </w:p>
    <w:p>
      <w:pPr>
        <w:spacing w:line="360" w:lineRule="auto"/>
        <w:ind w:firstLine="420" w:firstLineChars="200"/>
        <w:rPr>
          <w:rFonts w:ascii="宋体" w:hAnsi="宋体"/>
          <w:color w:val="auto"/>
          <w:szCs w:val="21"/>
          <w:lang w:val="zh-CN"/>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pStyle w:val="5"/>
        <w:jc w:val="center"/>
        <w:rPr>
          <w:rFonts w:ascii="Times New Roman" w:hAnsi="Times New Roman" w:eastAsia="楷体"/>
          <w:color w:val="auto"/>
          <w:sz w:val="44"/>
        </w:rPr>
      </w:pPr>
      <w:r>
        <w:rPr>
          <w:rFonts w:hint="eastAsia" w:ascii="宋体" w:hAnsi="宋体"/>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7" w:name="hetongStart"/>
      <w:bookmarkEnd w:id="37"/>
      <w:r>
        <w:rPr>
          <w:rFonts w:hint="eastAsia" w:ascii="宋体" w:hAnsi="宋体"/>
          <w:color w:val="auto"/>
          <w:sz w:val="24"/>
        </w:rPr>
        <w:t>甲方:</w:t>
      </w:r>
      <w:bookmarkStart w:id="38" w:name="purchase_name"/>
      <w:bookmarkEnd w:id="38"/>
      <w:bookmarkStart w:id="39" w:name="purchase_start"/>
      <w:bookmarkEnd w:id="39"/>
      <w:r>
        <w:rPr>
          <w:rFonts w:hint="eastAsia" w:ascii="宋体" w:hAnsi="宋体"/>
          <w:color w:val="auto"/>
          <w:sz w:val="24"/>
        </w:rPr>
        <w:t xml:space="preserve"> 江苏开放大学</w:t>
      </w:r>
      <w:bookmarkStart w:id="40" w:name="purchase_end"/>
      <w:bookmarkEnd w:id="40"/>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1" w:name="suppliers_name"/>
      <w:bookmarkEnd w:id="41"/>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 xml:space="preserve"> 2019-ZB-XC053 </w:t>
      </w:r>
      <w:r>
        <w:rPr>
          <w:rFonts w:hint="eastAsia" w:ascii="宋体" w:hAnsi="宋体"/>
          <w:color w:val="auto"/>
          <w:sz w:val="24"/>
        </w:rPr>
        <w:t>的</w:t>
      </w:r>
      <w:r>
        <w:rPr>
          <w:rFonts w:hint="eastAsia" w:ascii="宋体" w:hAnsi="宋体"/>
          <w:color w:val="auto"/>
          <w:sz w:val="24"/>
          <w:u w:val="single"/>
        </w:rPr>
        <w:t xml:space="preserve">  校园橱窗更换项目 </w:t>
      </w:r>
      <w:r>
        <w:rPr>
          <w:rFonts w:hint="eastAsia" w:ascii="宋体" w:hAnsi="宋体" w:cs="宋体"/>
          <w:color w:val="auto"/>
          <w:sz w:val="24"/>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9"/>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序号</w:t>
            </w:r>
          </w:p>
        </w:tc>
        <w:tc>
          <w:tcPr>
            <w:tcW w:w="2739" w:type="dxa"/>
            <w:gridSpan w:val="2"/>
            <w:vAlign w:val="center"/>
          </w:tcPr>
          <w:p>
            <w:pPr>
              <w:jc w:val="center"/>
              <w:rPr>
                <w:rFonts w:ascii="宋体" w:hAnsi="宋体"/>
                <w:color w:val="auto"/>
                <w:sz w:val="24"/>
              </w:rPr>
            </w:pPr>
            <w:r>
              <w:rPr>
                <w:rFonts w:hint="eastAsia" w:ascii="宋体" w:hAnsi="宋体"/>
                <w:color w:val="auto"/>
                <w:sz w:val="24"/>
              </w:rPr>
              <w:t>项目</w:t>
            </w:r>
          </w:p>
          <w:p>
            <w:pPr>
              <w:jc w:val="center"/>
              <w:rPr>
                <w:rFonts w:ascii="宋体" w:hAnsi="宋体"/>
                <w:color w:val="auto"/>
                <w:sz w:val="24"/>
              </w:rPr>
            </w:pPr>
            <w:r>
              <w:rPr>
                <w:rFonts w:hint="eastAsia" w:ascii="宋体" w:hAnsi="宋体"/>
                <w:color w:val="auto"/>
                <w:sz w:val="24"/>
              </w:rPr>
              <w:t>名称</w:t>
            </w:r>
          </w:p>
        </w:tc>
        <w:tc>
          <w:tcPr>
            <w:tcW w:w="1422" w:type="dxa"/>
            <w:vAlign w:val="center"/>
          </w:tcPr>
          <w:p>
            <w:pPr>
              <w:jc w:val="center"/>
              <w:rPr>
                <w:rFonts w:ascii="宋体" w:hAnsi="宋体"/>
                <w:color w:val="auto"/>
                <w:sz w:val="24"/>
              </w:rPr>
            </w:pPr>
            <w:r>
              <w:rPr>
                <w:rFonts w:hint="eastAsia" w:ascii="宋体" w:hAnsi="宋体"/>
                <w:color w:val="auto"/>
                <w:sz w:val="24"/>
              </w:rPr>
              <w:t>规格型号</w:t>
            </w:r>
          </w:p>
        </w:tc>
        <w:tc>
          <w:tcPr>
            <w:tcW w:w="913" w:type="dxa"/>
            <w:vAlign w:val="center"/>
          </w:tcPr>
          <w:p>
            <w:pPr>
              <w:jc w:val="center"/>
              <w:rPr>
                <w:rFonts w:ascii="宋体" w:hAnsi="宋体"/>
                <w:color w:val="auto"/>
                <w:sz w:val="24"/>
              </w:rPr>
            </w:pPr>
            <w:r>
              <w:rPr>
                <w:rFonts w:hint="eastAsia" w:ascii="宋体" w:hAnsi="宋体"/>
                <w:color w:val="auto"/>
                <w:sz w:val="24"/>
              </w:rPr>
              <w:t>数量</w:t>
            </w:r>
          </w:p>
        </w:tc>
        <w:tc>
          <w:tcPr>
            <w:tcW w:w="973" w:type="dxa"/>
            <w:vAlign w:val="center"/>
          </w:tcPr>
          <w:p>
            <w:pPr>
              <w:jc w:val="center"/>
              <w:rPr>
                <w:rFonts w:ascii="宋体" w:hAnsi="宋体"/>
                <w:color w:val="auto"/>
                <w:sz w:val="24"/>
              </w:rPr>
            </w:pPr>
            <w:r>
              <w:rPr>
                <w:rFonts w:hint="eastAsia" w:ascii="宋体" w:hAnsi="宋体"/>
                <w:color w:val="auto"/>
                <w:sz w:val="24"/>
              </w:rPr>
              <w:t>单价</w:t>
            </w:r>
          </w:p>
        </w:tc>
        <w:tc>
          <w:tcPr>
            <w:tcW w:w="943" w:type="dxa"/>
            <w:vAlign w:val="center"/>
          </w:tcPr>
          <w:p>
            <w:pPr>
              <w:jc w:val="center"/>
              <w:rPr>
                <w:rFonts w:ascii="宋体" w:hAnsi="宋体"/>
                <w:color w:val="auto"/>
                <w:sz w:val="24"/>
              </w:rPr>
            </w:pPr>
            <w:r>
              <w:rPr>
                <w:rFonts w:hint="eastAsia" w:ascii="宋体" w:hAnsi="宋体"/>
                <w:color w:val="auto"/>
                <w:sz w:val="24"/>
              </w:rPr>
              <w:t>总价</w:t>
            </w:r>
          </w:p>
        </w:tc>
        <w:tc>
          <w:tcPr>
            <w:tcW w:w="1093" w:type="dxa"/>
            <w:vAlign w:val="center"/>
          </w:tcPr>
          <w:p>
            <w:pPr>
              <w:jc w:val="center"/>
              <w:rPr>
                <w:rFonts w:ascii="宋体" w:hAnsi="宋体"/>
                <w:color w:val="auto"/>
                <w:sz w:val="24"/>
              </w:rPr>
            </w:pPr>
            <w:r>
              <w:rPr>
                <w:rFonts w:hint="eastAsia" w:ascii="宋体" w:hAnsi="宋体"/>
                <w:color w:val="auto"/>
                <w:sz w:val="24"/>
              </w:rPr>
              <w:t>免费</w:t>
            </w:r>
          </w:p>
          <w:p>
            <w:pPr>
              <w:jc w:val="center"/>
              <w:rPr>
                <w:rFonts w:ascii="宋体" w:hAnsi="宋体"/>
                <w:color w:val="auto"/>
                <w:sz w:val="24"/>
              </w:rPr>
            </w:pPr>
            <w:r>
              <w:rPr>
                <w:rFonts w:hint="eastAsia" w:ascii="宋体" w:hAnsi="宋体"/>
                <w:color w:val="auto"/>
                <w:sz w:val="24"/>
              </w:rPr>
              <w:t>质保期</w:t>
            </w:r>
          </w:p>
        </w:tc>
        <w:tc>
          <w:tcPr>
            <w:tcW w:w="953" w:type="dxa"/>
            <w:vAlign w:val="center"/>
          </w:tcPr>
          <w:p>
            <w:pPr>
              <w:jc w:val="center"/>
              <w:rPr>
                <w:rFonts w:ascii="宋体" w:hAnsi="宋体"/>
                <w:color w:val="auto"/>
                <w:sz w:val="24"/>
              </w:rPr>
            </w:pPr>
            <w:r>
              <w:rPr>
                <w:rFonts w:hint="eastAsia" w:ascii="宋体" w:hAnsi="宋体"/>
                <w:color w:val="auto"/>
                <w:sz w:val="24"/>
              </w:rPr>
              <w:t>交货</w:t>
            </w:r>
          </w:p>
          <w:p>
            <w:pPr>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1</w:t>
            </w:r>
          </w:p>
        </w:tc>
        <w:tc>
          <w:tcPr>
            <w:tcW w:w="2739" w:type="dxa"/>
            <w:gridSpan w:val="2"/>
            <w:vAlign w:val="center"/>
          </w:tcPr>
          <w:p>
            <w:pPr>
              <w:jc w:val="center"/>
              <w:rPr>
                <w:rFonts w:ascii="宋体" w:hAnsi="宋体"/>
                <w:color w:val="auto"/>
                <w:sz w:val="24"/>
              </w:rPr>
            </w:pPr>
          </w:p>
        </w:tc>
        <w:tc>
          <w:tcPr>
            <w:tcW w:w="1422" w:type="dxa"/>
            <w:vAlign w:val="center"/>
          </w:tcPr>
          <w:p>
            <w:pPr>
              <w:jc w:val="center"/>
              <w:rPr>
                <w:rFonts w:ascii="宋体" w:hAnsi="宋体"/>
                <w:color w:val="auto"/>
                <w:sz w:val="24"/>
              </w:rPr>
            </w:pPr>
            <w:r>
              <w:rPr>
                <w:rFonts w:hint="eastAsia" w:ascii="宋体" w:hAnsi="宋体"/>
                <w:color w:val="auto"/>
                <w:sz w:val="24"/>
              </w:rPr>
              <w:t>详见</w:t>
            </w:r>
          </w:p>
          <w:p>
            <w:pPr>
              <w:jc w:val="center"/>
              <w:rPr>
                <w:rFonts w:ascii="宋体" w:hAnsi="宋体"/>
                <w:color w:val="auto"/>
                <w:sz w:val="24"/>
              </w:rPr>
            </w:pPr>
            <w:r>
              <w:rPr>
                <w:rFonts w:hint="eastAsia" w:ascii="宋体" w:hAnsi="宋体"/>
                <w:color w:val="auto"/>
                <w:sz w:val="24"/>
              </w:rPr>
              <w:t>招标文件</w:t>
            </w:r>
          </w:p>
        </w:tc>
        <w:tc>
          <w:tcPr>
            <w:tcW w:w="913" w:type="dxa"/>
            <w:vAlign w:val="center"/>
          </w:tcPr>
          <w:p>
            <w:pPr>
              <w:jc w:val="center"/>
              <w:rPr>
                <w:rFonts w:ascii="宋体" w:hAnsi="宋体"/>
                <w:color w:val="auto"/>
                <w:sz w:val="24"/>
              </w:rPr>
            </w:pPr>
          </w:p>
        </w:tc>
        <w:tc>
          <w:tcPr>
            <w:tcW w:w="973" w:type="dxa"/>
            <w:vAlign w:val="center"/>
          </w:tcPr>
          <w:p>
            <w:pPr>
              <w:jc w:val="center"/>
              <w:rPr>
                <w:rFonts w:ascii="宋体" w:hAnsi="宋体"/>
                <w:color w:val="auto"/>
                <w:sz w:val="24"/>
              </w:rPr>
            </w:pPr>
          </w:p>
        </w:tc>
        <w:tc>
          <w:tcPr>
            <w:tcW w:w="943" w:type="dxa"/>
            <w:vAlign w:val="center"/>
          </w:tcPr>
          <w:p>
            <w:pPr>
              <w:jc w:val="center"/>
              <w:rPr>
                <w:rFonts w:ascii="宋体" w:hAnsi="宋体"/>
                <w:color w:val="auto"/>
                <w:sz w:val="24"/>
              </w:rPr>
            </w:pPr>
          </w:p>
        </w:tc>
        <w:tc>
          <w:tcPr>
            <w:tcW w:w="1093" w:type="dxa"/>
            <w:vAlign w:val="center"/>
          </w:tcPr>
          <w:p>
            <w:pPr>
              <w:jc w:val="center"/>
              <w:rPr>
                <w:rFonts w:ascii="宋体" w:hAnsi="宋体"/>
                <w:color w:val="auto"/>
                <w:sz w:val="24"/>
              </w:rPr>
            </w:pPr>
          </w:p>
        </w:tc>
        <w:tc>
          <w:tcPr>
            <w:tcW w:w="953"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color w:val="auto"/>
                <w:sz w:val="24"/>
              </w:rPr>
            </w:pPr>
            <w:bookmarkStart w:id="42" w:name="Ord_Seq_Name"/>
            <w:bookmarkEnd w:id="42"/>
            <w:r>
              <w:rPr>
                <w:rFonts w:hint="eastAsia" w:ascii="宋体" w:hAnsi="宋体"/>
                <w:color w:val="auto"/>
                <w:sz w:val="24"/>
              </w:rPr>
              <w:t>合同总金额：人民币（大写）元整。</w:t>
            </w:r>
          </w:p>
          <w:p>
            <w:pPr>
              <w:rPr>
                <w:rFonts w:ascii="宋体" w:hAnsi="宋体"/>
                <w:color w:val="auto"/>
                <w:sz w:val="24"/>
                <w:u w:val="single"/>
              </w:rPr>
            </w:pPr>
            <w:r>
              <w:rPr>
                <w:rFonts w:hint="eastAsia" w:ascii="宋体" w:hAnsi="宋体"/>
                <w:color w:val="auto"/>
                <w:sz w:val="24"/>
              </w:rPr>
              <w:t>￥：</w:t>
            </w:r>
            <w:bookmarkStart w:id="43" w:name="Ppp_Amt_1"/>
            <w:bookmarkEnd w:id="43"/>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甲方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4" w:name="Cus_Usr"/>
            <w:bookmarkEnd w:id="44"/>
          </w:p>
          <w:p>
            <w:pPr>
              <w:rPr>
                <w:rFonts w:ascii="宋体" w:hAnsi="宋体"/>
                <w:color w:val="auto"/>
                <w:sz w:val="24"/>
              </w:rPr>
            </w:pPr>
            <w:r>
              <w:rPr>
                <w:rFonts w:hint="eastAsia" w:ascii="宋体" w:hAnsi="宋体"/>
                <w:color w:val="auto"/>
                <w:sz w:val="24"/>
              </w:rPr>
              <w:t>固定电话：</w:t>
            </w:r>
            <w:bookmarkStart w:id="45" w:name="Cus_Tel"/>
            <w:bookmarkEnd w:id="45"/>
            <w:r>
              <w:rPr>
                <w:rFonts w:hint="eastAsia" w:ascii="宋体" w:hAnsi="宋体"/>
                <w:color w:val="auto"/>
                <w:sz w:val="24"/>
              </w:rPr>
              <w:t>移动电话：</w:t>
            </w:r>
            <w:bookmarkStart w:id="46" w:name="Cus_Mob"/>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乙方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7" w:name="Spr_Usr"/>
            <w:bookmarkEnd w:id="47"/>
          </w:p>
          <w:p>
            <w:pPr>
              <w:rPr>
                <w:rFonts w:ascii="宋体" w:hAnsi="宋体"/>
                <w:color w:val="auto"/>
                <w:sz w:val="24"/>
              </w:rPr>
            </w:pPr>
            <w:r>
              <w:rPr>
                <w:rFonts w:hint="eastAsia" w:ascii="宋体" w:hAnsi="宋体"/>
                <w:color w:val="auto"/>
                <w:sz w:val="24"/>
              </w:rPr>
              <w:t>固定电话：</w:t>
            </w:r>
            <w:bookmarkStart w:id="48" w:name="Spr_Tel"/>
            <w:bookmarkEnd w:id="48"/>
            <w:r>
              <w:rPr>
                <w:rFonts w:hint="eastAsia" w:ascii="宋体" w:hAnsi="宋体"/>
                <w:color w:val="auto"/>
                <w:sz w:val="24"/>
              </w:rPr>
              <w:t>移动电话：</w:t>
            </w:r>
            <w:bookmarkStart w:id="49" w:name="Spr_Mob"/>
            <w:bookmarkEnd w:id="49"/>
          </w:p>
        </w:tc>
      </w:tr>
    </w:tbl>
    <w:p>
      <w:pPr>
        <w:widowControl/>
        <w:tabs>
          <w:tab w:val="left" w:pos="1980"/>
        </w:tabs>
        <w:snapToGrid w:val="0"/>
        <w:spacing w:before="19" w:line="360" w:lineRule="auto"/>
        <w:ind w:firstLine="480" w:firstLineChars="200"/>
        <w:rPr>
          <w:rFonts w:ascii="宋体" w:hAnsi="宋体"/>
          <w:color w:val="auto"/>
          <w:sz w:val="24"/>
        </w:rPr>
      </w:pPr>
    </w:p>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、质保及售后服务：</w:t>
      </w:r>
      <w:bookmarkStart w:id="50" w:name="Con_Location"/>
      <w:bookmarkEnd w:id="50"/>
      <w:r>
        <w:rPr>
          <w:rFonts w:hint="eastAsia" w:ascii="宋体" w:hAnsi="宋体"/>
          <w:color w:val="auto"/>
          <w:sz w:val="24"/>
        </w:rPr>
        <w:t>五年内保修。</w:t>
      </w:r>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1、项目实施完成并验收合格后，支付合同总价的</w:t>
      </w:r>
      <w:r>
        <w:rPr>
          <w:rFonts w:hint="eastAsia" w:ascii="宋体" w:hAnsi="宋体" w:cs="宋体"/>
          <w:color w:val="auto"/>
          <w:sz w:val="24"/>
          <w:u w:val="single"/>
        </w:rPr>
        <w:t xml:space="preserve"> 9</w:t>
      </w:r>
      <w:r>
        <w:rPr>
          <w:rFonts w:ascii="宋体" w:hAnsi="宋体" w:cs="宋体"/>
          <w:color w:val="auto"/>
          <w:sz w:val="24"/>
          <w:u w:val="single"/>
        </w:rPr>
        <w:t>0</w:t>
      </w:r>
      <w:r>
        <w:rPr>
          <w:rFonts w:hint="eastAsia" w:ascii="宋体" w:hAnsi="宋体" w:cs="宋体"/>
          <w:color w:val="auto"/>
          <w:sz w:val="24"/>
          <w:u w:val="single"/>
        </w:rPr>
        <w:t xml:space="preserve"> </w:t>
      </w:r>
      <w:r>
        <w:rPr>
          <w:rFonts w:hint="eastAsia" w:ascii="宋体" w:hAnsi="宋体" w:cs="宋体"/>
          <w:color w:val="auto"/>
          <w:sz w:val="24"/>
        </w:rPr>
        <w:t>%。</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2、免费一年质保期结束后，支付合同总价的</w:t>
      </w:r>
      <w:r>
        <w:rPr>
          <w:rFonts w:hint="eastAsia" w:ascii="宋体" w:hAnsi="宋体" w:cs="宋体"/>
          <w:color w:val="auto"/>
          <w:sz w:val="24"/>
          <w:u w:val="single"/>
        </w:rPr>
        <w:t xml:space="preserve"> 5 </w:t>
      </w:r>
      <w:r>
        <w:rPr>
          <w:rFonts w:hint="eastAsia" w:ascii="宋体" w:hAnsi="宋体" w:cs="宋体"/>
          <w:color w:val="auto"/>
          <w:sz w:val="24"/>
        </w:rPr>
        <w:t>%。</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3、免费二年质保期结束后，一次性支付合同价的</w:t>
      </w:r>
      <w:r>
        <w:rPr>
          <w:rFonts w:hint="eastAsia" w:ascii="宋体" w:hAnsi="宋体" w:cs="宋体"/>
          <w:color w:val="auto"/>
          <w:sz w:val="24"/>
          <w:u w:val="single"/>
        </w:rPr>
        <w:t xml:space="preserve"> 5 </w:t>
      </w:r>
      <w:r>
        <w:rPr>
          <w:rFonts w:hint="eastAsia" w:ascii="宋体" w:hAnsi="宋体" w:cs="宋体"/>
          <w:color w:val="auto"/>
          <w:sz w:val="24"/>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rPr>
          <w:rFonts w:ascii="宋体" w:hAnsi="宋体"/>
          <w:b/>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1" w:name="purchase_name_one"/>
      <w:bookmarkEnd w:id="51"/>
      <w:bookmarkStart w:id="52" w:name="purchase_one_start"/>
      <w:bookmarkEnd w:id="52"/>
      <w:r>
        <w:rPr>
          <w:rFonts w:hint="eastAsia" w:ascii="宋体" w:hAnsi="宋体"/>
          <w:b/>
          <w:color w:val="auto"/>
          <w:sz w:val="24"/>
        </w:rPr>
        <w:t>江苏开放大学</w:t>
      </w:r>
      <w:bookmarkStart w:id="53" w:name="purchase_one_end"/>
      <w:bookmarkEnd w:id="53"/>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4" w:name="suppliers_name_one"/>
      <w:bookmarkEnd w:id="54"/>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pStyle w:val="16"/>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firstLine="840" w:firstLineChars="400"/>
        <w:rPr>
          <w:rFonts w:ascii="宋体" w:hAnsi="宋体"/>
          <w:color w:val="auto"/>
          <w:kern w:val="2"/>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81"/>
        <w:spacing w:before="0" w:after="0" w:line="420" w:lineRule="exact"/>
        <w:ind w:firstLine="840" w:firstLineChars="400"/>
        <w:rPr>
          <w:rFonts w:ascii="宋体" w:hAnsi="宋体"/>
          <w:color w:val="auto"/>
          <w:kern w:val="2"/>
          <w:sz w:val="21"/>
          <w:szCs w:val="21"/>
        </w:rPr>
      </w:pP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5"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29"/>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投标总价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Start w:id="56" w:name="_Toc157775469"/>
      <w:r>
        <w:rPr>
          <w:rFonts w:ascii="宋体" w:hAnsi="宋体"/>
          <w:b/>
          <w:color w:val="auto"/>
          <w:sz w:val="36"/>
          <w:szCs w:val="36"/>
        </w:rPr>
        <w:t>产品质保及服务承诺书</w:t>
      </w:r>
      <w:bookmarkStart w:id="57"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7"/>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6"/>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hint="eastAsia"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相关业绩案例一览表</w:t>
      </w:r>
    </w:p>
    <w:p>
      <w:pPr>
        <w:snapToGrid w:val="0"/>
        <w:spacing w:line="360" w:lineRule="auto"/>
        <w:jc w:val="center"/>
        <w:rPr>
          <w:rFonts w:ascii="宋体" w:hAnsi="宋体"/>
          <w:b/>
          <w:color w:val="auto"/>
          <w:sz w:val="28"/>
          <w:szCs w:val="30"/>
        </w:rPr>
      </w:pPr>
    </w:p>
    <w:p>
      <w:pPr>
        <w:snapToGrid w:val="0"/>
        <w:spacing w:line="360" w:lineRule="auto"/>
        <w:rPr>
          <w:rFonts w:ascii="宋体" w:hAnsi="宋体"/>
          <w:color w:val="auto"/>
          <w:sz w:val="24"/>
        </w:rPr>
      </w:pPr>
      <w:r>
        <w:rPr>
          <w:rFonts w:hint="eastAsia" w:ascii="宋体" w:hAnsi="宋体"/>
          <w:color w:val="auto"/>
          <w:sz w:val="24"/>
        </w:rPr>
        <w:t>项目编号：</w:t>
      </w:r>
      <w:r>
        <w:rPr>
          <w:rFonts w:hint="eastAsia" w:ascii="宋体" w:hAnsi="宋体"/>
          <w:color w:val="auto"/>
          <w:sz w:val="24"/>
          <w:u w:val="single"/>
        </w:rPr>
        <w:t xml:space="preserve">                          </w:t>
      </w:r>
    </w:p>
    <w:tbl>
      <w:tblPr>
        <w:tblStyle w:val="29"/>
        <w:tblW w:w="9581" w:type="dxa"/>
        <w:jc w:val="center"/>
        <w:tblInd w:w="0" w:type="dxa"/>
        <w:tblLayout w:type="fixed"/>
        <w:tblCellMar>
          <w:top w:w="0" w:type="dxa"/>
          <w:left w:w="108" w:type="dxa"/>
          <w:bottom w:w="0" w:type="dxa"/>
          <w:right w:w="108" w:type="dxa"/>
        </w:tblCellMar>
      </w:tblPr>
      <w:tblGrid>
        <w:gridCol w:w="720"/>
        <w:gridCol w:w="1133"/>
        <w:gridCol w:w="1729"/>
        <w:gridCol w:w="1474"/>
        <w:gridCol w:w="1198"/>
        <w:gridCol w:w="1730"/>
        <w:gridCol w:w="1597"/>
      </w:tblGrid>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序号</w:t>
            </w: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年度</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联系电话</w:t>
            </w: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bl>
    <w:p>
      <w:pPr>
        <w:tabs>
          <w:tab w:val="left" w:pos="9765"/>
        </w:tabs>
        <w:autoSpaceDE w:val="0"/>
        <w:autoSpaceDN w:val="0"/>
        <w:adjustRightInd w:val="0"/>
        <w:snapToGrid w:val="0"/>
        <w:spacing w:line="360" w:lineRule="auto"/>
        <w:rPr>
          <w:rFonts w:ascii="宋体" w:hAnsi="宋体"/>
          <w:color w:val="auto"/>
          <w:szCs w:val="21"/>
        </w:rPr>
      </w:pPr>
      <w:r>
        <w:rPr>
          <w:rFonts w:hint="eastAsia" w:ascii="宋体" w:hAnsi="宋体"/>
          <w:color w:val="auto"/>
          <w:szCs w:val="21"/>
          <w:lang w:val="zh-CN"/>
        </w:rPr>
        <w:t>注：附合同复印件、验收报告或用户使用意见书。</w:t>
      </w:r>
    </w:p>
    <w:p>
      <w:pPr>
        <w:snapToGrid w:val="0"/>
        <w:spacing w:line="360" w:lineRule="auto"/>
        <w:rPr>
          <w:rFonts w:ascii="宋体" w:hAnsi="宋体"/>
          <w:color w:val="auto"/>
          <w:sz w:val="22"/>
        </w:rPr>
      </w:pPr>
    </w:p>
    <w:p>
      <w:pPr>
        <w:snapToGrid w:val="0"/>
        <w:spacing w:line="360" w:lineRule="auto"/>
        <w:rPr>
          <w:rFonts w:ascii="宋体" w:hAnsi="宋体"/>
          <w:color w:val="auto"/>
          <w:sz w:val="22"/>
        </w:rPr>
      </w:pPr>
    </w:p>
    <w:p>
      <w:pPr>
        <w:widowControl/>
        <w:snapToGrid w:val="0"/>
        <w:spacing w:line="360" w:lineRule="auto"/>
        <w:ind w:firstLine="4620" w:firstLineChars="2200"/>
        <w:rPr>
          <w:rFonts w:ascii="宋体" w:hAnsi="宋体" w:cs="Arial"/>
          <w:color w:val="auto"/>
          <w:kern w:val="0"/>
          <w:szCs w:val="21"/>
        </w:rPr>
      </w:pPr>
      <w:r>
        <w:rPr>
          <w:rFonts w:hint="eastAsia" w:ascii="宋体" w:hAnsi="宋体" w:cs="Arial"/>
          <w:color w:val="auto"/>
          <w:kern w:val="0"/>
          <w:szCs w:val="21"/>
        </w:rPr>
        <w:t>投标单位名称（公章）：</w:t>
      </w:r>
    </w:p>
    <w:p>
      <w:pPr>
        <w:snapToGrid w:val="0"/>
        <w:spacing w:line="360" w:lineRule="auto"/>
        <w:ind w:firstLine="4620" w:firstLineChars="2200"/>
        <w:rPr>
          <w:rFonts w:ascii="宋体" w:hAnsi="宋体"/>
          <w:color w:val="auto"/>
          <w:szCs w:val="21"/>
        </w:rPr>
      </w:pPr>
      <w:r>
        <w:rPr>
          <w:rFonts w:hint="eastAsia" w:ascii="宋体" w:hAnsi="宋体"/>
          <w:color w:val="auto"/>
          <w:szCs w:val="21"/>
        </w:rPr>
        <w:t>法定代表人或代理人（签字或盖章）：</w:t>
      </w:r>
    </w:p>
    <w:p>
      <w:pPr>
        <w:snapToGrid w:val="0"/>
        <w:spacing w:line="360" w:lineRule="auto"/>
        <w:rPr>
          <w:rFonts w:ascii="宋体" w:hAnsi="宋体"/>
          <w:color w:val="auto"/>
          <w:sz w:val="22"/>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pacing w:line="440" w:lineRule="exact"/>
        <w:jc w:val="left"/>
        <w:rPr>
          <w:rFonts w:ascii="宋体" w:hAnsi="宋体"/>
          <w:color w:val="auto"/>
          <w:szCs w:val="21"/>
        </w:rPr>
      </w:pPr>
    </w:p>
    <w:p>
      <w:pPr>
        <w:spacing w:line="440" w:lineRule="exact"/>
        <w:rPr>
          <w:rFonts w:ascii="宋体" w:hAnsi="宋体"/>
          <w:color w:val="auto"/>
          <w:szCs w:val="21"/>
        </w:rPr>
      </w:pPr>
    </w:p>
    <w:bookmarkEnd w:id="55"/>
    <w:p>
      <w:pPr>
        <w:spacing w:line="520" w:lineRule="exact"/>
        <w:ind w:firstLine="3570" w:firstLineChars="1700"/>
        <w:rPr>
          <w:rFonts w:ascii="宋体" w:hAnsi="宋体"/>
          <w:color w:val="auto"/>
          <w:szCs w:val="21"/>
          <w:u w:val="single"/>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A177733"/>
    <w:multiLevelType w:val="singleLevel"/>
    <w:tmpl w:val="5A177733"/>
    <w:lvl w:ilvl="0" w:tentative="0">
      <w:start w:val="2"/>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0630A"/>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0EE"/>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37B70"/>
    <w:rsid w:val="00040121"/>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67B80"/>
    <w:rsid w:val="0007030E"/>
    <w:rsid w:val="00070382"/>
    <w:rsid w:val="000714CC"/>
    <w:rsid w:val="00071760"/>
    <w:rsid w:val="00071908"/>
    <w:rsid w:val="00071DCB"/>
    <w:rsid w:val="000725A3"/>
    <w:rsid w:val="0007372F"/>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B75"/>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230"/>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77B"/>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47427"/>
    <w:rsid w:val="001501D3"/>
    <w:rsid w:val="00150274"/>
    <w:rsid w:val="00150F69"/>
    <w:rsid w:val="001530A4"/>
    <w:rsid w:val="00155511"/>
    <w:rsid w:val="00157D4C"/>
    <w:rsid w:val="00157DA8"/>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C7182"/>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2E08"/>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1F22"/>
    <w:rsid w:val="00222EDD"/>
    <w:rsid w:val="00222F2A"/>
    <w:rsid w:val="00224F05"/>
    <w:rsid w:val="0022781E"/>
    <w:rsid w:val="00230A4F"/>
    <w:rsid w:val="00231F62"/>
    <w:rsid w:val="002327EE"/>
    <w:rsid w:val="002329BD"/>
    <w:rsid w:val="00233BAF"/>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291A"/>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3DE5"/>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105"/>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5890"/>
    <w:rsid w:val="00356FE2"/>
    <w:rsid w:val="0035721A"/>
    <w:rsid w:val="0036101D"/>
    <w:rsid w:val="00361312"/>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6499"/>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4761"/>
    <w:rsid w:val="003B564D"/>
    <w:rsid w:val="003B5FDA"/>
    <w:rsid w:val="003B7EA2"/>
    <w:rsid w:val="003C0D1D"/>
    <w:rsid w:val="003C167D"/>
    <w:rsid w:val="003C5251"/>
    <w:rsid w:val="003C6BC3"/>
    <w:rsid w:val="003D1697"/>
    <w:rsid w:val="003D19AE"/>
    <w:rsid w:val="003D1F05"/>
    <w:rsid w:val="003D483A"/>
    <w:rsid w:val="003D4EBE"/>
    <w:rsid w:val="003D5415"/>
    <w:rsid w:val="003D576F"/>
    <w:rsid w:val="003D6F82"/>
    <w:rsid w:val="003E0263"/>
    <w:rsid w:val="003E0435"/>
    <w:rsid w:val="003E1198"/>
    <w:rsid w:val="003E1255"/>
    <w:rsid w:val="003E15AB"/>
    <w:rsid w:val="003E1B05"/>
    <w:rsid w:val="003E1E39"/>
    <w:rsid w:val="003E26E0"/>
    <w:rsid w:val="003E3C39"/>
    <w:rsid w:val="003E43BC"/>
    <w:rsid w:val="003E5A1F"/>
    <w:rsid w:val="003E6AC3"/>
    <w:rsid w:val="003E6C59"/>
    <w:rsid w:val="003E6E1E"/>
    <w:rsid w:val="003E725B"/>
    <w:rsid w:val="003E7CB6"/>
    <w:rsid w:val="003E7F9E"/>
    <w:rsid w:val="003F0107"/>
    <w:rsid w:val="003F1879"/>
    <w:rsid w:val="003F34A1"/>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059E"/>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13F"/>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19D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C20"/>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829"/>
    <w:rsid w:val="004C79FA"/>
    <w:rsid w:val="004D07DC"/>
    <w:rsid w:val="004D0C40"/>
    <w:rsid w:val="004D1BDC"/>
    <w:rsid w:val="004D1C31"/>
    <w:rsid w:val="004D21E9"/>
    <w:rsid w:val="004D3969"/>
    <w:rsid w:val="004D3BD2"/>
    <w:rsid w:val="004D6690"/>
    <w:rsid w:val="004D696A"/>
    <w:rsid w:val="004D6D3D"/>
    <w:rsid w:val="004D74BD"/>
    <w:rsid w:val="004E0000"/>
    <w:rsid w:val="004E0573"/>
    <w:rsid w:val="004E0AD3"/>
    <w:rsid w:val="004E11DB"/>
    <w:rsid w:val="004E1E45"/>
    <w:rsid w:val="004E2013"/>
    <w:rsid w:val="004E2459"/>
    <w:rsid w:val="004E3934"/>
    <w:rsid w:val="004E4C91"/>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6FA"/>
    <w:rsid w:val="0051497B"/>
    <w:rsid w:val="00514B59"/>
    <w:rsid w:val="005160A0"/>
    <w:rsid w:val="005165BD"/>
    <w:rsid w:val="005178A2"/>
    <w:rsid w:val="005203CB"/>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686"/>
    <w:rsid w:val="00537BBD"/>
    <w:rsid w:val="0054104C"/>
    <w:rsid w:val="005410CA"/>
    <w:rsid w:val="005418FB"/>
    <w:rsid w:val="005443EB"/>
    <w:rsid w:val="00544567"/>
    <w:rsid w:val="00544DE9"/>
    <w:rsid w:val="005455D4"/>
    <w:rsid w:val="00545FD0"/>
    <w:rsid w:val="005462D7"/>
    <w:rsid w:val="005466BF"/>
    <w:rsid w:val="00546855"/>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171"/>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0D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4D76"/>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0D0"/>
    <w:rsid w:val="005F3DBC"/>
    <w:rsid w:val="005F6377"/>
    <w:rsid w:val="005F6AB2"/>
    <w:rsid w:val="006001FC"/>
    <w:rsid w:val="00600F68"/>
    <w:rsid w:val="00601200"/>
    <w:rsid w:val="006039BF"/>
    <w:rsid w:val="00605958"/>
    <w:rsid w:val="00605E68"/>
    <w:rsid w:val="0060653D"/>
    <w:rsid w:val="006065C3"/>
    <w:rsid w:val="006065FE"/>
    <w:rsid w:val="00606F81"/>
    <w:rsid w:val="0061019A"/>
    <w:rsid w:val="00612AE3"/>
    <w:rsid w:val="00613206"/>
    <w:rsid w:val="0061356E"/>
    <w:rsid w:val="0061482F"/>
    <w:rsid w:val="00614C31"/>
    <w:rsid w:val="00614EA0"/>
    <w:rsid w:val="00614F21"/>
    <w:rsid w:val="00615104"/>
    <w:rsid w:val="00615287"/>
    <w:rsid w:val="00615493"/>
    <w:rsid w:val="00615617"/>
    <w:rsid w:val="00615CFF"/>
    <w:rsid w:val="00617765"/>
    <w:rsid w:val="00620D8E"/>
    <w:rsid w:val="006210BB"/>
    <w:rsid w:val="006211B5"/>
    <w:rsid w:val="006211EB"/>
    <w:rsid w:val="00621251"/>
    <w:rsid w:val="006217DD"/>
    <w:rsid w:val="00622246"/>
    <w:rsid w:val="0062366C"/>
    <w:rsid w:val="006238EB"/>
    <w:rsid w:val="00624782"/>
    <w:rsid w:val="006255B9"/>
    <w:rsid w:val="00625F09"/>
    <w:rsid w:val="00626A0C"/>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06E0"/>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27"/>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759"/>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B34"/>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3C24"/>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16E9"/>
    <w:rsid w:val="007927FC"/>
    <w:rsid w:val="00793407"/>
    <w:rsid w:val="007937BC"/>
    <w:rsid w:val="007937DF"/>
    <w:rsid w:val="0079503D"/>
    <w:rsid w:val="007964FE"/>
    <w:rsid w:val="00796604"/>
    <w:rsid w:val="00796CA1"/>
    <w:rsid w:val="007A0550"/>
    <w:rsid w:val="007A0886"/>
    <w:rsid w:val="007A09C7"/>
    <w:rsid w:val="007A0F9F"/>
    <w:rsid w:val="007A3D67"/>
    <w:rsid w:val="007A5016"/>
    <w:rsid w:val="007A5220"/>
    <w:rsid w:val="007A5421"/>
    <w:rsid w:val="007A6589"/>
    <w:rsid w:val="007A759B"/>
    <w:rsid w:val="007A7691"/>
    <w:rsid w:val="007B0E14"/>
    <w:rsid w:val="007B1289"/>
    <w:rsid w:val="007B13F7"/>
    <w:rsid w:val="007B13FA"/>
    <w:rsid w:val="007B1CB6"/>
    <w:rsid w:val="007B1EAF"/>
    <w:rsid w:val="007B22CF"/>
    <w:rsid w:val="007B574F"/>
    <w:rsid w:val="007B58F3"/>
    <w:rsid w:val="007B6B27"/>
    <w:rsid w:val="007B6DBF"/>
    <w:rsid w:val="007B6E28"/>
    <w:rsid w:val="007B6F1E"/>
    <w:rsid w:val="007B6F62"/>
    <w:rsid w:val="007B7C05"/>
    <w:rsid w:val="007C12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717"/>
    <w:rsid w:val="007F3F38"/>
    <w:rsid w:val="007F5419"/>
    <w:rsid w:val="007F6980"/>
    <w:rsid w:val="007F6A57"/>
    <w:rsid w:val="007F7AD0"/>
    <w:rsid w:val="00800D93"/>
    <w:rsid w:val="008015F1"/>
    <w:rsid w:val="00801B0B"/>
    <w:rsid w:val="008022C7"/>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3FE1"/>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0CA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078"/>
    <w:rsid w:val="008A050D"/>
    <w:rsid w:val="008A1BFF"/>
    <w:rsid w:val="008A2303"/>
    <w:rsid w:val="008A314C"/>
    <w:rsid w:val="008A3F64"/>
    <w:rsid w:val="008A5359"/>
    <w:rsid w:val="008A5DF8"/>
    <w:rsid w:val="008A6370"/>
    <w:rsid w:val="008A6A04"/>
    <w:rsid w:val="008A6B40"/>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3BB9"/>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91F"/>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6DA3"/>
    <w:rsid w:val="00927679"/>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23C"/>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A72"/>
    <w:rsid w:val="00980D1D"/>
    <w:rsid w:val="00980D7B"/>
    <w:rsid w:val="00981A0F"/>
    <w:rsid w:val="00982218"/>
    <w:rsid w:val="00983D59"/>
    <w:rsid w:val="0098414E"/>
    <w:rsid w:val="00984EDF"/>
    <w:rsid w:val="0098534B"/>
    <w:rsid w:val="00985593"/>
    <w:rsid w:val="00985697"/>
    <w:rsid w:val="00985C1E"/>
    <w:rsid w:val="00985FE9"/>
    <w:rsid w:val="009867B7"/>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2E1"/>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5F3"/>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377A"/>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365F"/>
    <w:rsid w:val="00A141B2"/>
    <w:rsid w:val="00A152CD"/>
    <w:rsid w:val="00A15C08"/>
    <w:rsid w:val="00A15F67"/>
    <w:rsid w:val="00A16A7D"/>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AE3"/>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038B"/>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60A"/>
    <w:rsid w:val="00AE4C43"/>
    <w:rsid w:val="00AE4CE1"/>
    <w:rsid w:val="00AE65CF"/>
    <w:rsid w:val="00AE67D1"/>
    <w:rsid w:val="00AE6F74"/>
    <w:rsid w:val="00AE6FDF"/>
    <w:rsid w:val="00AE77AE"/>
    <w:rsid w:val="00AF0274"/>
    <w:rsid w:val="00AF0692"/>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0419"/>
    <w:rsid w:val="00B21E83"/>
    <w:rsid w:val="00B22F24"/>
    <w:rsid w:val="00B22F6A"/>
    <w:rsid w:val="00B234E0"/>
    <w:rsid w:val="00B2414F"/>
    <w:rsid w:val="00B2474F"/>
    <w:rsid w:val="00B25238"/>
    <w:rsid w:val="00B2536D"/>
    <w:rsid w:val="00B26014"/>
    <w:rsid w:val="00B27EB2"/>
    <w:rsid w:val="00B3052E"/>
    <w:rsid w:val="00B30B33"/>
    <w:rsid w:val="00B30CA0"/>
    <w:rsid w:val="00B30E22"/>
    <w:rsid w:val="00B334A4"/>
    <w:rsid w:val="00B339B9"/>
    <w:rsid w:val="00B339FC"/>
    <w:rsid w:val="00B34497"/>
    <w:rsid w:val="00B3453A"/>
    <w:rsid w:val="00B34A3D"/>
    <w:rsid w:val="00B34B6E"/>
    <w:rsid w:val="00B35032"/>
    <w:rsid w:val="00B363F6"/>
    <w:rsid w:val="00B377EE"/>
    <w:rsid w:val="00B37D6D"/>
    <w:rsid w:val="00B40A83"/>
    <w:rsid w:val="00B4129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56749"/>
    <w:rsid w:val="00B600D1"/>
    <w:rsid w:val="00B6281A"/>
    <w:rsid w:val="00B62CA7"/>
    <w:rsid w:val="00B63213"/>
    <w:rsid w:val="00B636BD"/>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A7B5C"/>
    <w:rsid w:val="00BB12C9"/>
    <w:rsid w:val="00BB278A"/>
    <w:rsid w:val="00BB2C98"/>
    <w:rsid w:val="00BB3842"/>
    <w:rsid w:val="00BB3B4F"/>
    <w:rsid w:val="00BB3E09"/>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5DDD"/>
    <w:rsid w:val="00C46B5E"/>
    <w:rsid w:val="00C46EC9"/>
    <w:rsid w:val="00C512BF"/>
    <w:rsid w:val="00C51770"/>
    <w:rsid w:val="00C52343"/>
    <w:rsid w:val="00C52F84"/>
    <w:rsid w:val="00C53355"/>
    <w:rsid w:val="00C5376E"/>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3B4"/>
    <w:rsid w:val="00CA6C09"/>
    <w:rsid w:val="00CA7313"/>
    <w:rsid w:val="00CA7550"/>
    <w:rsid w:val="00CA784B"/>
    <w:rsid w:val="00CA7A33"/>
    <w:rsid w:val="00CA7CA2"/>
    <w:rsid w:val="00CB20BC"/>
    <w:rsid w:val="00CB32F4"/>
    <w:rsid w:val="00CB34A5"/>
    <w:rsid w:val="00CB3D5F"/>
    <w:rsid w:val="00CB4DA0"/>
    <w:rsid w:val="00CB50A4"/>
    <w:rsid w:val="00CB5464"/>
    <w:rsid w:val="00CB5962"/>
    <w:rsid w:val="00CC1180"/>
    <w:rsid w:val="00CC135C"/>
    <w:rsid w:val="00CC24F0"/>
    <w:rsid w:val="00CC2F29"/>
    <w:rsid w:val="00CC32A8"/>
    <w:rsid w:val="00CC389A"/>
    <w:rsid w:val="00CC3E63"/>
    <w:rsid w:val="00CC43ED"/>
    <w:rsid w:val="00CC5D94"/>
    <w:rsid w:val="00CC6B33"/>
    <w:rsid w:val="00CC6ECC"/>
    <w:rsid w:val="00CC700D"/>
    <w:rsid w:val="00CC7CA1"/>
    <w:rsid w:val="00CD0682"/>
    <w:rsid w:val="00CD1F58"/>
    <w:rsid w:val="00CD2CFD"/>
    <w:rsid w:val="00CD2D45"/>
    <w:rsid w:val="00CD2DA3"/>
    <w:rsid w:val="00CD3B4F"/>
    <w:rsid w:val="00CD3E1E"/>
    <w:rsid w:val="00CD4CCA"/>
    <w:rsid w:val="00CD5548"/>
    <w:rsid w:val="00CD56E0"/>
    <w:rsid w:val="00CD5A46"/>
    <w:rsid w:val="00CD67AC"/>
    <w:rsid w:val="00CD6846"/>
    <w:rsid w:val="00CD6888"/>
    <w:rsid w:val="00CD6CFC"/>
    <w:rsid w:val="00CD7F88"/>
    <w:rsid w:val="00CE18D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0F1"/>
    <w:rsid w:val="00D54242"/>
    <w:rsid w:val="00D54614"/>
    <w:rsid w:val="00D54F28"/>
    <w:rsid w:val="00D55017"/>
    <w:rsid w:val="00D559AA"/>
    <w:rsid w:val="00D566E7"/>
    <w:rsid w:val="00D5799E"/>
    <w:rsid w:val="00D607FE"/>
    <w:rsid w:val="00D608DB"/>
    <w:rsid w:val="00D60CF8"/>
    <w:rsid w:val="00D61109"/>
    <w:rsid w:val="00D616DB"/>
    <w:rsid w:val="00D62158"/>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24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36D"/>
    <w:rsid w:val="00DA4DD1"/>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C7708"/>
    <w:rsid w:val="00DD12E9"/>
    <w:rsid w:val="00DD1F55"/>
    <w:rsid w:val="00DD2AFF"/>
    <w:rsid w:val="00DD4E94"/>
    <w:rsid w:val="00DD508E"/>
    <w:rsid w:val="00DD59CE"/>
    <w:rsid w:val="00DD69AC"/>
    <w:rsid w:val="00DE0C93"/>
    <w:rsid w:val="00DE10BC"/>
    <w:rsid w:val="00DE3AC3"/>
    <w:rsid w:val="00DE3D8F"/>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3EF4"/>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5FB"/>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831"/>
    <w:rsid w:val="00E57EEE"/>
    <w:rsid w:val="00E609F1"/>
    <w:rsid w:val="00E613FE"/>
    <w:rsid w:val="00E6222F"/>
    <w:rsid w:val="00E62D1C"/>
    <w:rsid w:val="00E62FE9"/>
    <w:rsid w:val="00E63AF9"/>
    <w:rsid w:val="00E6532B"/>
    <w:rsid w:val="00E65C8C"/>
    <w:rsid w:val="00E67D81"/>
    <w:rsid w:val="00E7028A"/>
    <w:rsid w:val="00E705B7"/>
    <w:rsid w:val="00E70C7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9C7"/>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990"/>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49E3"/>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0009"/>
    <w:rsid w:val="00F41199"/>
    <w:rsid w:val="00F41E7A"/>
    <w:rsid w:val="00F43697"/>
    <w:rsid w:val="00F436AC"/>
    <w:rsid w:val="00F44059"/>
    <w:rsid w:val="00F44F0E"/>
    <w:rsid w:val="00F45CC5"/>
    <w:rsid w:val="00F4643E"/>
    <w:rsid w:val="00F46B2E"/>
    <w:rsid w:val="00F47179"/>
    <w:rsid w:val="00F501A3"/>
    <w:rsid w:val="00F50C6B"/>
    <w:rsid w:val="00F50F38"/>
    <w:rsid w:val="00F517CF"/>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413B"/>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5CBE"/>
    <w:rsid w:val="00FC63A8"/>
    <w:rsid w:val="00FC63F8"/>
    <w:rsid w:val="00FC6504"/>
    <w:rsid w:val="00FC78BF"/>
    <w:rsid w:val="00FD00D2"/>
    <w:rsid w:val="00FD224C"/>
    <w:rsid w:val="00FD2BB4"/>
    <w:rsid w:val="00FD32D7"/>
    <w:rsid w:val="00FD34D8"/>
    <w:rsid w:val="00FD4853"/>
    <w:rsid w:val="00FD57D2"/>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123"/>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616ACE"/>
    <w:rsid w:val="04E478AB"/>
    <w:rsid w:val="059403A9"/>
    <w:rsid w:val="05FD31FE"/>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B26250"/>
    <w:rsid w:val="10124978"/>
    <w:rsid w:val="1063255D"/>
    <w:rsid w:val="10E87431"/>
    <w:rsid w:val="11302761"/>
    <w:rsid w:val="11394A1A"/>
    <w:rsid w:val="11B20C9C"/>
    <w:rsid w:val="12000325"/>
    <w:rsid w:val="12416A8A"/>
    <w:rsid w:val="12537511"/>
    <w:rsid w:val="128C7C2A"/>
    <w:rsid w:val="12F8325C"/>
    <w:rsid w:val="14AA1C86"/>
    <w:rsid w:val="14B34CD8"/>
    <w:rsid w:val="14B55E2A"/>
    <w:rsid w:val="14F31893"/>
    <w:rsid w:val="151A0933"/>
    <w:rsid w:val="151E1392"/>
    <w:rsid w:val="1554682F"/>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75297C"/>
    <w:rsid w:val="1D9602C3"/>
    <w:rsid w:val="1D9E7C25"/>
    <w:rsid w:val="1DE166EC"/>
    <w:rsid w:val="1E780B21"/>
    <w:rsid w:val="1EA62A71"/>
    <w:rsid w:val="1EF36325"/>
    <w:rsid w:val="1F2056A9"/>
    <w:rsid w:val="1FCA667D"/>
    <w:rsid w:val="2091679B"/>
    <w:rsid w:val="20EA51D1"/>
    <w:rsid w:val="210C3C73"/>
    <w:rsid w:val="220E2ECD"/>
    <w:rsid w:val="222173DC"/>
    <w:rsid w:val="229B58CD"/>
    <w:rsid w:val="22AB64E8"/>
    <w:rsid w:val="23454FED"/>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F64D92"/>
    <w:rsid w:val="2E016B8B"/>
    <w:rsid w:val="2E292A27"/>
    <w:rsid w:val="2E784A5D"/>
    <w:rsid w:val="307D2976"/>
    <w:rsid w:val="309A085F"/>
    <w:rsid w:val="30C56C11"/>
    <w:rsid w:val="30C67B9E"/>
    <w:rsid w:val="31100E2A"/>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F4659"/>
    <w:rsid w:val="3552479E"/>
    <w:rsid w:val="35CA224F"/>
    <w:rsid w:val="361F13D9"/>
    <w:rsid w:val="362C67F7"/>
    <w:rsid w:val="366B0429"/>
    <w:rsid w:val="36AB200D"/>
    <w:rsid w:val="3759692C"/>
    <w:rsid w:val="376D591F"/>
    <w:rsid w:val="38086121"/>
    <w:rsid w:val="38A108C0"/>
    <w:rsid w:val="395746B6"/>
    <w:rsid w:val="39FF76A1"/>
    <w:rsid w:val="3A321275"/>
    <w:rsid w:val="3A4F2DF7"/>
    <w:rsid w:val="3A6A78BF"/>
    <w:rsid w:val="3AD76819"/>
    <w:rsid w:val="3B20570E"/>
    <w:rsid w:val="3B55051D"/>
    <w:rsid w:val="3B7A2455"/>
    <w:rsid w:val="3B917312"/>
    <w:rsid w:val="3BE528E8"/>
    <w:rsid w:val="3C041E8C"/>
    <w:rsid w:val="3C4B6B70"/>
    <w:rsid w:val="3CB26D83"/>
    <w:rsid w:val="3D36121A"/>
    <w:rsid w:val="3D6A463A"/>
    <w:rsid w:val="3D977566"/>
    <w:rsid w:val="3E4167E0"/>
    <w:rsid w:val="3E42029A"/>
    <w:rsid w:val="3E5D2F50"/>
    <w:rsid w:val="3E861031"/>
    <w:rsid w:val="3EE82E77"/>
    <w:rsid w:val="3F50730D"/>
    <w:rsid w:val="3F732CAD"/>
    <w:rsid w:val="3FF7134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C7A4EC9"/>
    <w:rsid w:val="4CC5508E"/>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C4EEB"/>
    <w:rsid w:val="60AE1A84"/>
    <w:rsid w:val="60B1208A"/>
    <w:rsid w:val="61120F87"/>
    <w:rsid w:val="61912DFD"/>
    <w:rsid w:val="61C845D6"/>
    <w:rsid w:val="61EA20BC"/>
    <w:rsid w:val="623F259A"/>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3D2D8D"/>
    <w:rsid w:val="6A4455CF"/>
    <w:rsid w:val="6A4773E5"/>
    <w:rsid w:val="6A841B35"/>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1D2BEA"/>
    <w:rsid w:val="70403699"/>
    <w:rsid w:val="71020C79"/>
    <w:rsid w:val="71346F76"/>
    <w:rsid w:val="714D07B5"/>
    <w:rsid w:val="722E1B2B"/>
    <w:rsid w:val="72674F59"/>
    <w:rsid w:val="727A111A"/>
    <w:rsid w:val="730B19FB"/>
    <w:rsid w:val="73102D1F"/>
    <w:rsid w:val="731A01C7"/>
    <w:rsid w:val="732B4FE5"/>
    <w:rsid w:val="73382DAE"/>
    <w:rsid w:val="733E4FF8"/>
    <w:rsid w:val="74007902"/>
    <w:rsid w:val="746E74A6"/>
    <w:rsid w:val="74AC783C"/>
    <w:rsid w:val="74B62681"/>
    <w:rsid w:val="753320BC"/>
    <w:rsid w:val="75CB7A79"/>
    <w:rsid w:val="7681674A"/>
    <w:rsid w:val="774737A1"/>
    <w:rsid w:val="775D40D6"/>
    <w:rsid w:val="77EC3D7F"/>
    <w:rsid w:val="787228C6"/>
    <w:rsid w:val="78C04FBE"/>
    <w:rsid w:val="78C328A3"/>
    <w:rsid w:val="78F40135"/>
    <w:rsid w:val="796571AA"/>
    <w:rsid w:val="796D5C1C"/>
    <w:rsid w:val="79D530D2"/>
    <w:rsid w:val="79FC373C"/>
    <w:rsid w:val="7A2D7735"/>
    <w:rsid w:val="7A6042E4"/>
    <w:rsid w:val="7A8512DD"/>
    <w:rsid w:val="7AB913E9"/>
    <w:rsid w:val="7B11404E"/>
    <w:rsid w:val="7B493B7A"/>
    <w:rsid w:val="7B8E3D81"/>
    <w:rsid w:val="7C1954AA"/>
    <w:rsid w:val="7C27016E"/>
    <w:rsid w:val="7C503274"/>
    <w:rsid w:val="7D717D85"/>
    <w:rsid w:val="7DC71F94"/>
    <w:rsid w:val="7E5B7423"/>
    <w:rsid w:val="7E632989"/>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8"/>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1"/>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5"/>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85"/>
    <w:qFormat/>
    <w:uiPriority w:val="0"/>
    <w:rPr>
      <w:b/>
      <w:bCs/>
    </w:rPr>
  </w:style>
  <w:style w:type="paragraph" w:styleId="28">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page number"/>
    <w:basedOn w:val="31"/>
    <w:qFormat/>
    <w:uiPriority w:val="99"/>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2 Char"/>
    <w:qFormat/>
    <w:uiPriority w:val="9"/>
    <w:rPr>
      <w:rFonts w:ascii="Arial" w:hAnsi="Arial" w:eastAsia="黑体"/>
      <w:b/>
      <w:kern w:val="2"/>
      <w:sz w:val="32"/>
      <w:lang w:val="en-US" w:eastAsia="zh-CN"/>
    </w:rPr>
  </w:style>
  <w:style w:type="character" w:customStyle="1" w:styleId="39">
    <w:name w:val="列出段落 Char"/>
    <w:link w:val="40"/>
    <w:qFormat/>
    <w:uiPriority w:val="0"/>
    <w:rPr>
      <w:rFonts w:ascii="Calibri" w:hAnsi="Calibri"/>
      <w:kern w:val="2"/>
      <w:sz w:val="21"/>
      <w:szCs w:val="22"/>
    </w:rPr>
  </w:style>
  <w:style w:type="paragraph" w:customStyle="1" w:styleId="40">
    <w:name w:val="列出段落1"/>
    <w:basedOn w:val="1"/>
    <w:link w:val="39"/>
    <w:qFormat/>
    <w:uiPriority w:val="0"/>
    <w:pPr>
      <w:ind w:firstLine="420" w:firstLineChars="200"/>
    </w:pPr>
    <w:rPr>
      <w:rFonts w:ascii="Calibri" w:hAnsi="Calibri"/>
      <w:szCs w:val="22"/>
    </w:rPr>
  </w:style>
  <w:style w:type="character" w:customStyle="1" w:styleId="41">
    <w:name w:val="纯文本 字符"/>
    <w:link w:val="16"/>
    <w:qFormat/>
    <w:uiPriority w:val="0"/>
    <w:rPr>
      <w:rFonts w:ascii="宋体" w:hAnsi="Courier New" w:eastAsia="宋体"/>
      <w:kern w:val="2"/>
      <w:sz w:val="21"/>
      <w:lang w:val="en-US" w:eastAsia="zh-CN" w:bidi="ar-SA"/>
    </w:rPr>
  </w:style>
  <w:style w:type="character" w:customStyle="1" w:styleId="42">
    <w:name w:val="param-value"/>
    <w:basedOn w:val="31"/>
    <w:qFormat/>
    <w:uiPriority w:val="0"/>
  </w:style>
  <w:style w:type="character" w:customStyle="1" w:styleId="43">
    <w:name w:val="页脚 字符"/>
    <w:link w:val="19"/>
    <w:qFormat/>
    <w:uiPriority w:val="99"/>
    <w:rPr>
      <w:kern w:val="2"/>
      <w:sz w:val="18"/>
      <w:szCs w:val="18"/>
    </w:rPr>
  </w:style>
  <w:style w:type="character" w:customStyle="1" w:styleId="44">
    <w:name w:val="Font Style36"/>
    <w:qFormat/>
    <w:uiPriority w:val="0"/>
    <w:rPr>
      <w:rFonts w:ascii="宋体" w:eastAsia="宋体" w:cs="宋体"/>
      <w:sz w:val="16"/>
      <w:szCs w:val="16"/>
    </w:rPr>
  </w:style>
  <w:style w:type="character" w:customStyle="1" w:styleId="45">
    <w:name w:val="标题 字符"/>
    <w:link w:val="26"/>
    <w:qFormat/>
    <w:uiPriority w:val="0"/>
    <w:rPr>
      <w:rFonts w:ascii="Cambria" w:hAnsi="Cambria" w:cs="Times New Roman"/>
      <w:b/>
      <w:bCs/>
      <w:kern w:val="2"/>
      <w:sz w:val="32"/>
      <w:szCs w:val="32"/>
    </w:rPr>
  </w:style>
  <w:style w:type="character" w:customStyle="1" w:styleId="46">
    <w:name w:val="Font Style28"/>
    <w:qFormat/>
    <w:uiPriority w:val="0"/>
    <w:rPr>
      <w:rFonts w:ascii="Constantia" w:hAnsi="Constantia" w:cs="Constantia"/>
      <w:sz w:val="28"/>
      <w:szCs w:val="28"/>
    </w:rPr>
  </w:style>
  <w:style w:type="character" w:customStyle="1" w:styleId="47">
    <w:name w:val="Font Style30"/>
    <w:qFormat/>
    <w:uiPriority w:val="0"/>
    <w:rPr>
      <w:rFonts w:ascii="宋体" w:eastAsia="宋体" w:cs="宋体"/>
      <w:sz w:val="14"/>
      <w:szCs w:val="14"/>
    </w:rPr>
  </w:style>
  <w:style w:type="character" w:customStyle="1" w:styleId="48">
    <w:name w:val="Font Style37"/>
    <w:qFormat/>
    <w:uiPriority w:val="0"/>
    <w:rPr>
      <w:rFonts w:ascii="Arial" w:hAnsi="Arial" w:cs="Arial"/>
      <w:sz w:val="16"/>
      <w:szCs w:val="16"/>
    </w:rPr>
  </w:style>
  <w:style w:type="character" w:customStyle="1" w:styleId="49">
    <w:name w:val="标题 1 字符"/>
    <w:link w:val="2"/>
    <w:qFormat/>
    <w:uiPriority w:val="0"/>
    <w:rPr>
      <w:b/>
      <w:bCs/>
      <w:kern w:val="44"/>
      <w:sz w:val="44"/>
      <w:szCs w:val="44"/>
    </w:rPr>
  </w:style>
  <w:style w:type="character" w:customStyle="1" w:styleId="50">
    <w:name w:val="apple-converted-space"/>
    <w:qFormat/>
    <w:uiPriority w:val="0"/>
  </w:style>
  <w:style w:type="character" w:customStyle="1" w:styleId="51">
    <w:name w:val="页眉 字符"/>
    <w:link w:val="20"/>
    <w:qFormat/>
    <w:uiPriority w:val="99"/>
    <w:rPr>
      <w:kern w:val="2"/>
      <w:sz w:val="18"/>
      <w:szCs w:val="18"/>
    </w:rPr>
  </w:style>
  <w:style w:type="character" w:customStyle="1" w:styleId="52">
    <w:name w:val="标题 5 字符"/>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字符"/>
    <w:link w:val="5"/>
    <w:qFormat/>
    <w:uiPriority w:val="9"/>
    <w:rPr>
      <w:rFonts w:ascii="Arial" w:hAnsi="Arial"/>
      <w:b/>
      <w:kern w:val="2"/>
      <w:sz w:val="32"/>
    </w:rPr>
  </w:style>
  <w:style w:type="character" w:customStyle="1" w:styleId="55">
    <w:name w:val="style4"/>
    <w:qFormat/>
    <w:uiPriority w:val="0"/>
  </w:style>
  <w:style w:type="character" w:customStyle="1" w:styleId="56">
    <w:name w:val="标题 4 字符"/>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字符"/>
    <w:link w:val="10"/>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9"/>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9"/>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kern w:val="0"/>
      <w:szCs w:val="21"/>
    </w:rPr>
  </w:style>
  <w:style w:type="paragraph" w:customStyle="1" w:styleId="84">
    <w:name w:val="标准文本"/>
    <w:basedOn w:val="1"/>
    <w:qFormat/>
    <w:uiPriority w:val="0"/>
    <w:pPr>
      <w:spacing w:line="300" w:lineRule="auto"/>
      <w:ind w:firstLine="420" w:firstLineChars="200"/>
    </w:pPr>
    <w:rPr>
      <w:rFonts w:ascii="宋体" w:hAnsi="宋体"/>
      <w:kern w:val="0"/>
      <w:sz w:val="20"/>
      <w:szCs w:val="21"/>
    </w:rPr>
  </w:style>
  <w:style w:type="character" w:customStyle="1" w:styleId="85">
    <w:name w:val="批注主题 字符"/>
    <w:basedOn w:val="58"/>
    <w:link w:val="27"/>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1343</Words>
  <Characters>7658</Characters>
  <Lines>63</Lines>
  <Paragraphs>17</Paragraphs>
  <TotalTime>0</TotalTime>
  <ScaleCrop>false</ScaleCrop>
  <LinksUpToDate>false</LinksUpToDate>
  <CharactersWithSpaces>8984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2019-07-23T07:26:00Z</dcterms:created>
  <dc:creator>xiaolu1404095211</dc:creator>
  <cp:lastModifiedBy>xiaolu1404095211</cp:lastModifiedBy>
  <cp:lastPrinted>2016-07-10T10:09:00Z</cp:lastPrinted>
  <dcterms:modified xsi:type="dcterms:W3CDTF">2019-08-05T08:41:15Z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