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center" w:pos="4476"/>
          <w:tab w:val="right" w:pos="8953"/>
        </w:tabs>
        <w:ind w:firstLine="0"/>
        <w:rPr>
          <w:rFonts w:eastAsia="黑体"/>
          <w:b/>
          <w:bCs/>
          <w:color w:val="auto"/>
          <w:sz w:val="84"/>
        </w:rPr>
      </w:pPr>
      <w:bookmarkStart w:id="0" w:name="_Toc455914596"/>
      <w:bookmarkStart w:id="1" w:name="_Toc115756014"/>
      <w:bookmarkStart w:id="2" w:name="_Toc142209795"/>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0"/>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firstLine="1446" w:firstLineChars="400"/>
        <w:jc w:val="left"/>
        <w:rPr>
          <w:rFonts w:ascii="宋体" w:hAnsi="宋体"/>
          <w:b/>
          <w:color w:val="auto"/>
          <w:sz w:val="36"/>
        </w:rPr>
      </w:pPr>
      <w:r>
        <w:rPr>
          <w:rFonts w:hint="eastAsia" w:ascii="宋体" w:hAnsi="宋体"/>
          <w:b/>
          <w:color w:val="auto"/>
          <w:sz w:val="36"/>
        </w:rPr>
        <w:t>项目名称：</w:t>
      </w:r>
      <w:r>
        <w:rPr>
          <w:rFonts w:hint="eastAsia" w:ascii="宋体" w:hAnsi="宋体"/>
          <w:b/>
          <w:color w:val="auto"/>
          <w:sz w:val="36"/>
          <w:u w:val="single"/>
        </w:rPr>
        <w:t xml:space="preserve">  部门网站批量建设  </w:t>
      </w:r>
      <w:r>
        <w:rPr>
          <w:rFonts w:hint="eastAsia"/>
          <w:color w:val="auto"/>
        </w:rPr>
        <w:t xml:space="preserve"> </w:t>
      </w:r>
    </w:p>
    <w:p>
      <w:pPr>
        <w:spacing w:line="360" w:lineRule="auto"/>
        <w:ind w:firstLine="1446" w:firstLineChars="4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rPr>
        <w:t xml:space="preserve">   2019-ZB-XC</w:t>
      </w:r>
      <w:r>
        <w:rPr>
          <w:rFonts w:hint="eastAsia" w:ascii="宋体" w:hAnsi="宋体"/>
          <w:b/>
          <w:color w:val="auto"/>
          <w:sz w:val="36"/>
          <w:u w:val="single"/>
          <w:lang w:val="en-US" w:eastAsia="zh-CN"/>
        </w:rPr>
        <w:t>067</w:t>
      </w:r>
      <w:r>
        <w:rPr>
          <w:rFonts w:hint="eastAsia" w:ascii="宋体" w:hAnsi="宋体"/>
          <w:b/>
          <w:color w:val="auto"/>
          <w:sz w:val="36"/>
          <w:u w:val="single"/>
        </w:rPr>
        <w:t xml:space="preserve">    </w:t>
      </w: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5"/>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江苏开放大学以终身教育理念为先导，以服务全民学习、终身学习、促进人的全面发展为宗旨，以培养高素质应用型人才为任务。为更好地满足学校的业务需求，更好地服务于新型开放大学的人才培养模式，加快建设管控科学、运作高效的</w:t>
      </w:r>
      <w:r>
        <w:rPr>
          <w:rFonts w:hint="eastAsia" w:cs="Times New Roman"/>
          <w:color w:val="auto"/>
          <w:sz w:val="21"/>
          <w:szCs w:val="21"/>
        </w:rPr>
        <w:t>开放式课程平台，</w:t>
      </w:r>
      <w:r>
        <w:rPr>
          <w:rFonts w:hint="eastAsia" w:ascii="Times New Roman" w:hAnsi="Times New Roman" w:cs="Times New Roman"/>
          <w:color w:val="auto"/>
          <w:sz w:val="21"/>
          <w:szCs w:val="21"/>
        </w:rPr>
        <w:t>以信息化推进管理规范化，精细化，助推教学信息化，有效促进人才培养模式创新，管理模式创新，</w:t>
      </w:r>
      <w:r>
        <w:rPr>
          <w:rFonts w:ascii="Times New Roman" w:hAnsi="Times New Roman" w:cs="Times New Roman"/>
          <w:color w:val="auto"/>
          <w:sz w:val="21"/>
          <w:szCs w:val="21"/>
        </w:rPr>
        <w:t>现对我校</w:t>
      </w:r>
      <w:r>
        <w:rPr>
          <w:rFonts w:hint="eastAsia" w:ascii="Times New Roman" w:hAnsi="Times New Roman" w:cs="Times New Roman"/>
          <w:color w:val="auto"/>
          <w:sz w:val="21"/>
          <w:szCs w:val="21"/>
          <w:u w:val="single"/>
        </w:rPr>
        <w:t xml:space="preserve">  部门网站批量建设  </w:t>
      </w:r>
      <w:r>
        <w:rPr>
          <w:rFonts w:ascii="Times New Roman" w:hAnsi="Times New Roman" w:cs="Times New Roman"/>
          <w:color w:val="auto"/>
          <w:sz w:val="21"/>
          <w:szCs w:val="21"/>
        </w:rPr>
        <w:t>项目组织公开招标。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2019-ZB-XC</w:t>
      </w:r>
      <w:r>
        <w:rPr>
          <w:rFonts w:hint="eastAsia" w:ascii="Times New Roman" w:hAnsi="Times New Roman" w:cs="Times New Roman"/>
          <w:color w:val="auto"/>
          <w:sz w:val="21"/>
          <w:szCs w:val="21"/>
          <w:lang w:val="en-US" w:eastAsia="zh-CN"/>
        </w:rPr>
        <w:t>067</w:t>
      </w:r>
      <w:r>
        <w:rPr>
          <w:rFonts w:hint="eastAsia" w:ascii="Times New Roman" w:hAnsi="Times New Roman" w:cs="Times New Roman"/>
          <w:color w:val="auto"/>
          <w:sz w:val="21"/>
          <w:szCs w:val="21"/>
        </w:rPr>
        <w:t>。</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部门网站批量建设。</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项目预算：15万元。</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项目实施期限：合同签订之日起30个工作日。</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免费质保期：</w:t>
      </w:r>
      <w:r>
        <w:rPr>
          <w:rFonts w:hint="eastAsia" w:ascii="Times New Roman" w:hAnsi="Times New Roman" w:cs="Times New Roman"/>
          <w:color w:val="auto"/>
          <w:sz w:val="21"/>
          <w:szCs w:val="21"/>
          <w:lang w:val="en-US" w:eastAsia="zh-CN"/>
        </w:rPr>
        <w:t>1年。</w:t>
      </w:r>
    </w:p>
    <w:p>
      <w:pPr>
        <w:pStyle w:val="5"/>
        <w:rPr>
          <w:rFonts w:ascii="Times New Roman" w:hAnsi="Times New Roman"/>
          <w:color w:val="auto"/>
          <w:sz w:val="21"/>
          <w:szCs w:val="21"/>
        </w:rPr>
      </w:pPr>
      <w:bookmarkStart w:id="4" w:name="_Toc455914598"/>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2、采购人根据采购项目的特殊要求规定的特定条件：无。</w:t>
      </w:r>
    </w:p>
    <w:p>
      <w:pPr>
        <w:spacing w:line="360" w:lineRule="auto"/>
        <w:ind w:firstLine="420" w:firstLineChars="200"/>
        <w:jc w:val="left"/>
        <w:rPr>
          <w:color w:val="auto"/>
          <w:szCs w:val="21"/>
        </w:rPr>
      </w:pPr>
      <w:r>
        <w:rPr>
          <w:rFonts w:hint="eastAsia"/>
          <w:color w:val="auto"/>
          <w:kern w:val="0"/>
          <w:szCs w:val="21"/>
          <w:lang w:val="en-US" w:eastAsia="zh-CN"/>
        </w:rPr>
        <w:t>3</w:t>
      </w:r>
      <w:r>
        <w:rPr>
          <w:rFonts w:hint="eastAsia"/>
          <w:color w:val="auto"/>
          <w:kern w:val="0"/>
          <w:szCs w:val="21"/>
        </w:rPr>
        <w:t>、本项目不接受联合体投标。</w:t>
      </w:r>
    </w:p>
    <w:bookmarkEnd w:id="5"/>
    <w:p>
      <w:pPr>
        <w:pStyle w:val="5"/>
        <w:rPr>
          <w:color w:val="auto"/>
          <w:sz w:val="24"/>
          <w:szCs w:val="24"/>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rPr>
        <w:t>3投标报名</w:t>
      </w:r>
    </w:p>
    <w:p>
      <w:pPr>
        <w:spacing w:line="360" w:lineRule="auto"/>
        <w:ind w:firstLine="420" w:firstLineChars="200"/>
        <w:rPr>
          <w:color w:val="auto"/>
        </w:rPr>
      </w:pPr>
      <w:r>
        <w:rPr>
          <w:rFonts w:hint="eastAsia"/>
          <w:color w:val="auto"/>
        </w:rPr>
        <w:t>有意投标的投标人请在2019年</w:t>
      </w:r>
      <w:r>
        <w:rPr>
          <w:rFonts w:hint="eastAsia"/>
          <w:color w:val="auto"/>
          <w:u w:val="single"/>
          <w:lang w:val="en-US" w:eastAsia="zh-CN"/>
        </w:rPr>
        <w:t xml:space="preserve">11 </w:t>
      </w:r>
      <w:r>
        <w:rPr>
          <w:rFonts w:hint="eastAsia"/>
          <w:color w:val="auto"/>
        </w:rPr>
        <w:t>月</w:t>
      </w:r>
      <w:r>
        <w:rPr>
          <w:rFonts w:hint="eastAsia"/>
          <w:color w:val="auto"/>
          <w:u w:val="single"/>
          <w:lang w:val="en-US" w:eastAsia="zh-CN"/>
        </w:rPr>
        <w:t xml:space="preserve">24 </w:t>
      </w:r>
      <w:r>
        <w:rPr>
          <w:rFonts w:hint="eastAsia"/>
          <w:color w:val="auto"/>
        </w:rPr>
        <w:t>日下午16：00前发送单位名称、联系人、联系电话及项目编号和项目名称到2448775794@qq.com 邮箱中，并在邮件标题中注明“</w:t>
      </w:r>
      <w:r>
        <w:rPr>
          <w:rFonts w:hint="eastAsia"/>
          <w:color w:val="auto"/>
          <w:szCs w:val="21"/>
        </w:rPr>
        <w:t>部门网站批量建设</w:t>
      </w:r>
      <w:r>
        <w:rPr>
          <w:rFonts w:hint="eastAsia"/>
          <w:color w:val="auto"/>
        </w:rPr>
        <w:t>”。</w:t>
      </w:r>
    </w:p>
    <w:p>
      <w:pPr>
        <w:spacing w:line="360" w:lineRule="auto"/>
        <w:ind w:firstLine="422" w:firstLineChars="200"/>
        <w:rPr>
          <w:rFonts w:hint="eastAsia"/>
          <w:b/>
          <w:bCs/>
          <w:color w:val="auto"/>
        </w:rPr>
      </w:pPr>
      <w:r>
        <w:rPr>
          <w:rFonts w:hint="eastAsia"/>
          <w:b/>
          <w:bCs/>
          <w:color w:val="auto"/>
        </w:rPr>
        <w:t>凡未按要求报名者，学校不接受其投标</w:t>
      </w:r>
      <w:r>
        <w:rPr>
          <w:rFonts w:hint="eastAsia"/>
          <w:b/>
          <w:bCs/>
          <w:color w:val="auto"/>
          <w:lang w:eastAsia="zh-CN"/>
        </w:rPr>
        <w:t>及现场勘查</w:t>
      </w:r>
      <w:r>
        <w:rPr>
          <w:rFonts w:hint="eastAsia"/>
          <w:b/>
          <w:bCs/>
          <w:color w:val="auto"/>
        </w:rPr>
        <w:t>。</w:t>
      </w:r>
    </w:p>
    <w:p>
      <w:pPr>
        <w:pStyle w:val="86"/>
        <w:numPr>
          <w:ilvl w:val="0"/>
          <w:numId w:val="0"/>
        </w:numPr>
        <w:spacing w:before="0" w:beforeAutospacing="0" w:after="0" w:afterAutospacing="0" w:line="360" w:lineRule="auto"/>
        <w:ind w:right="17" w:rightChars="0"/>
        <w:rPr>
          <w:rFonts w:hint="default" w:ascii="Times New Roman" w:hAnsi="Times New Roman" w:cs="Times New Roman" w:eastAsiaTheme="minorEastAsia"/>
          <w:color w:val="auto"/>
          <w:sz w:val="21"/>
          <w:szCs w:val="21"/>
        </w:rPr>
      </w:pPr>
    </w:p>
    <w:p>
      <w:pPr>
        <w:pStyle w:val="5"/>
        <w:rPr>
          <w:rFonts w:hint="eastAsia" w:ascii="Times New Roman" w:hAnsi="Times New Roman" w:eastAsia="宋体" w:cs="Times New Roman"/>
          <w:color w:val="auto"/>
          <w:sz w:val="21"/>
          <w:szCs w:val="21"/>
          <w:lang w:eastAsia="zh-CN"/>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lang w:val="en-US" w:eastAsia="zh-CN"/>
        </w:rPr>
        <w:t>4</w:t>
      </w:r>
      <w:r>
        <w:rPr>
          <w:rFonts w:hint="eastAsia" w:ascii="Times New Roman" w:hAnsi="Times New Roman"/>
          <w:color w:val="auto"/>
          <w:sz w:val="21"/>
          <w:szCs w:val="21"/>
          <w:lang w:eastAsia="zh-CN"/>
        </w:rPr>
        <w:t>现场勘查</w:t>
      </w:r>
    </w:p>
    <w:p>
      <w:pPr>
        <w:pStyle w:val="16"/>
        <w:spacing w:line="360" w:lineRule="auto"/>
        <w:ind w:firstLine="420" w:firstLineChars="200"/>
        <w:rPr>
          <w:rFonts w:hint="eastAsia" w:ascii="Times New Roman" w:hAnsi="Times New Roman" w:eastAsia="宋体" w:cs="Times New Roman"/>
          <w:color w:val="auto"/>
          <w:sz w:val="21"/>
          <w:szCs w:val="21"/>
          <w:lang w:eastAsia="zh-CN"/>
        </w:rPr>
      </w:pPr>
      <w:r>
        <w:rPr>
          <w:rFonts w:hint="default" w:ascii="Times New Roman" w:hAnsi="Times New Roman" w:cs="Times New Roman" w:eastAsiaTheme="minorEastAsia"/>
          <w:color w:val="auto"/>
          <w:sz w:val="21"/>
          <w:szCs w:val="21"/>
        </w:rPr>
        <w:t>投标人</w:t>
      </w:r>
      <w:r>
        <w:rPr>
          <w:rFonts w:hint="eastAsia" w:ascii="Times New Roman" w:hAnsi="Times New Roman" w:cs="Times New Roman" w:eastAsiaTheme="minorEastAsia"/>
          <w:color w:val="auto"/>
          <w:sz w:val="21"/>
          <w:szCs w:val="21"/>
          <w:lang w:eastAsia="zh-CN"/>
        </w:rPr>
        <w:t>应</w:t>
      </w:r>
      <w:r>
        <w:rPr>
          <w:rFonts w:hint="default" w:ascii="Times New Roman" w:hAnsi="Times New Roman" w:cs="Times New Roman" w:eastAsiaTheme="minorEastAsia"/>
          <w:color w:val="auto"/>
          <w:sz w:val="21"/>
          <w:szCs w:val="21"/>
        </w:rPr>
        <w:t>在投标前与学校充分沟通，了解现有网站群平台技术架构，针对</w:t>
      </w:r>
      <w:r>
        <w:rPr>
          <w:rFonts w:hint="eastAsia" w:ascii="Times New Roman" w:hAnsi="Times New Roman" w:cs="Times New Roman" w:eastAsiaTheme="minorEastAsia"/>
          <w:color w:val="auto"/>
          <w:sz w:val="21"/>
          <w:szCs w:val="21"/>
          <w:lang w:eastAsia="zh-CN"/>
        </w:rPr>
        <w:t>性地</w:t>
      </w:r>
      <w:r>
        <w:rPr>
          <w:rFonts w:hint="default" w:ascii="Times New Roman" w:hAnsi="Times New Roman" w:cs="Times New Roman" w:eastAsiaTheme="minorEastAsia"/>
          <w:color w:val="auto"/>
          <w:sz w:val="21"/>
          <w:szCs w:val="21"/>
        </w:rPr>
        <w:t>提供用户认可的可行性解决方案，</w:t>
      </w:r>
      <w:r>
        <w:rPr>
          <w:rFonts w:hint="eastAsia" w:ascii="Times New Roman" w:hAnsi="Times New Roman"/>
          <w:color w:val="auto"/>
          <w:szCs w:val="21"/>
        </w:rPr>
        <w:t>未现场勘察和未提出疑义的投标人将被视为已勘察，认同招标项目要求的内容</w:t>
      </w:r>
      <w:r>
        <w:rPr>
          <w:rFonts w:hint="eastAsia" w:ascii="Times New Roman" w:hAnsi="Times New Roman"/>
          <w:color w:val="auto"/>
          <w:szCs w:val="21"/>
          <w:lang w:eastAsia="zh-CN"/>
        </w:rPr>
        <w:t>。</w:t>
      </w:r>
    </w:p>
    <w:p>
      <w:pPr>
        <w:pStyle w:val="86"/>
        <w:numPr>
          <w:ilvl w:val="0"/>
          <w:numId w:val="0"/>
        </w:numPr>
        <w:spacing w:before="0" w:beforeAutospacing="0" w:after="0" w:afterAutospacing="0" w:line="360" w:lineRule="auto"/>
        <w:ind w:right="17" w:rightChars="0" w:firstLine="420" w:firstLineChars="200"/>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勘察</w:t>
      </w:r>
      <w:r>
        <w:rPr>
          <w:rFonts w:hint="default" w:ascii="Times New Roman" w:hAnsi="Times New Roman" w:cs="Times New Roman" w:eastAsiaTheme="minorEastAsia"/>
          <w:color w:val="auto"/>
          <w:sz w:val="21"/>
          <w:szCs w:val="21"/>
        </w:rPr>
        <w:t>时间：2019年</w:t>
      </w:r>
      <w:r>
        <w:rPr>
          <w:rFonts w:hint="eastAsia" w:ascii="Times New Roman" w:hAnsi="Times New Roman" w:cs="Times New Roman" w:eastAsiaTheme="minorEastAsia"/>
          <w:color w:val="auto"/>
          <w:sz w:val="21"/>
          <w:szCs w:val="21"/>
          <w:u w:val="single"/>
          <w:lang w:val="en-US" w:eastAsia="zh-CN"/>
        </w:rPr>
        <w:t xml:space="preserve"> 11 </w:t>
      </w:r>
      <w:r>
        <w:rPr>
          <w:rFonts w:hint="default" w:ascii="Times New Roman" w:hAnsi="Times New Roman" w:cs="Times New Roman" w:eastAsiaTheme="minorEastAsia"/>
          <w:color w:val="auto"/>
          <w:sz w:val="21"/>
          <w:szCs w:val="21"/>
        </w:rPr>
        <w:t>月</w:t>
      </w:r>
      <w:r>
        <w:rPr>
          <w:rFonts w:hint="default" w:ascii="Times New Roman" w:hAnsi="Times New Roman" w:cs="Times New Roman" w:eastAsiaTheme="minorEastAsia"/>
          <w:color w:val="auto"/>
          <w:sz w:val="21"/>
          <w:szCs w:val="21"/>
          <w:u w:val="single"/>
        </w:rPr>
        <w:t xml:space="preserve"> </w:t>
      </w:r>
      <w:r>
        <w:rPr>
          <w:rFonts w:hint="eastAsia" w:ascii="Times New Roman" w:hAnsi="Times New Roman" w:cs="Times New Roman" w:eastAsiaTheme="minorEastAsia"/>
          <w:color w:val="auto"/>
          <w:sz w:val="21"/>
          <w:szCs w:val="21"/>
          <w:u w:val="single"/>
          <w:lang w:val="en-US" w:eastAsia="zh-CN"/>
        </w:rPr>
        <w:t xml:space="preserve"> 25 </w:t>
      </w:r>
      <w:r>
        <w:rPr>
          <w:rFonts w:hint="default" w:ascii="Times New Roman" w:hAnsi="Times New Roman" w:cs="Times New Roman" w:eastAsiaTheme="minorEastAsia"/>
          <w:color w:val="auto"/>
          <w:sz w:val="21"/>
          <w:szCs w:val="21"/>
          <w:u w:val="single"/>
        </w:rPr>
        <w:t xml:space="preserve"> </w:t>
      </w:r>
      <w:r>
        <w:rPr>
          <w:rFonts w:hint="default" w:ascii="Times New Roman" w:hAnsi="Times New Roman" w:cs="Times New Roman" w:eastAsiaTheme="minorEastAsia"/>
          <w:color w:val="auto"/>
          <w:sz w:val="21"/>
          <w:szCs w:val="21"/>
        </w:rPr>
        <w:t>日10：00。</w:t>
      </w:r>
    </w:p>
    <w:p>
      <w:pPr>
        <w:pStyle w:val="86"/>
        <w:numPr>
          <w:ilvl w:val="0"/>
          <w:numId w:val="0"/>
        </w:numPr>
        <w:spacing w:before="0" w:beforeAutospacing="0" w:after="0" w:afterAutospacing="0" w:line="360" w:lineRule="auto"/>
        <w:ind w:right="17" w:rightChars="0"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勘查地点：</w:t>
      </w:r>
      <w:r>
        <w:rPr>
          <w:rFonts w:hint="eastAsia" w:ascii="Times New Roman" w:hAnsi="Times New Roman" w:cs="Times New Roman" w:eastAsiaTheme="minorEastAsia"/>
          <w:color w:val="auto"/>
          <w:sz w:val="21"/>
          <w:szCs w:val="21"/>
          <w:lang w:eastAsia="zh-CN"/>
        </w:rPr>
        <w:t>江苏省南京市</w:t>
      </w:r>
      <w:r>
        <w:rPr>
          <w:rFonts w:hint="eastAsia" w:ascii="Times New Roman" w:hAnsi="Times New Roman" w:cs="Times New Roman" w:eastAsiaTheme="minorEastAsia"/>
          <w:color w:val="auto"/>
          <w:sz w:val="21"/>
          <w:szCs w:val="21"/>
          <w:lang w:val="en-US" w:eastAsia="zh-CN"/>
        </w:rPr>
        <w:t>江东北路399号 图书馆楼705室。</w:t>
      </w:r>
    </w:p>
    <w:p>
      <w:pPr>
        <w:pStyle w:val="86"/>
        <w:numPr>
          <w:ilvl w:val="0"/>
          <w:numId w:val="0"/>
        </w:numPr>
        <w:spacing w:before="0" w:beforeAutospacing="0" w:after="0" w:afterAutospacing="0" w:line="360" w:lineRule="auto"/>
        <w:ind w:right="17" w:rightChars="0" w:firstLine="420" w:firstLineChars="200"/>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踏勘联系人</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 xml:space="preserve"> </w:t>
      </w:r>
      <w:r>
        <w:rPr>
          <w:rFonts w:hint="eastAsia" w:ascii="Times New Roman" w:hAnsi="Times New Roman" w:cs="Times New Roman" w:eastAsiaTheme="minorEastAsia"/>
          <w:color w:val="auto"/>
          <w:sz w:val="21"/>
          <w:szCs w:val="21"/>
          <w:lang w:eastAsia="zh-CN"/>
        </w:rPr>
        <w:t>张新海。</w:t>
      </w:r>
    </w:p>
    <w:p>
      <w:pPr>
        <w:pStyle w:val="86"/>
        <w:numPr>
          <w:ilvl w:val="0"/>
          <w:numId w:val="0"/>
        </w:numPr>
        <w:spacing w:before="0" w:beforeAutospacing="0" w:after="0" w:afterAutospacing="0" w:line="360" w:lineRule="auto"/>
        <w:ind w:right="17" w:rightChars="0" w:firstLine="420" w:firstLineChars="200"/>
        <w:rPr>
          <w:rFonts w:hint="default" w:eastAsiaTheme="minorEastAsia"/>
          <w:b/>
          <w:bCs/>
          <w:color w:val="auto"/>
          <w:lang w:val="en-US" w:eastAsia="zh-CN"/>
        </w:rPr>
      </w:pPr>
      <w:r>
        <w:rPr>
          <w:rFonts w:hint="default" w:ascii="Times New Roman" w:hAnsi="Times New Roman" w:cs="Times New Roman" w:eastAsiaTheme="minorEastAsia"/>
          <w:color w:val="auto"/>
          <w:sz w:val="21"/>
          <w:szCs w:val="21"/>
        </w:rPr>
        <w:t xml:space="preserve">联系电话： </w:t>
      </w:r>
      <w:r>
        <w:rPr>
          <w:rFonts w:hint="eastAsia" w:ascii="Times New Roman" w:hAnsi="Times New Roman" w:cs="Times New Roman" w:eastAsiaTheme="minorEastAsia"/>
          <w:color w:val="auto"/>
          <w:sz w:val="21"/>
          <w:szCs w:val="21"/>
          <w:lang w:val="en-US" w:eastAsia="zh-CN"/>
        </w:rPr>
        <w:t>025-86265422。</w:t>
      </w:r>
    </w:p>
    <w:p>
      <w:pPr>
        <w:pStyle w:val="5"/>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rPr>
        <w:t>4</w:t>
      </w:r>
      <w:r>
        <w:rPr>
          <w:rFonts w:ascii="Times New Roman" w:hAnsi="Times New Roman"/>
          <w:color w:val="auto"/>
          <w:sz w:val="21"/>
          <w:szCs w:val="21"/>
        </w:rPr>
        <w:t>招标文件获取</w:t>
      </w:r>
      <w:bookmarkEnd w:id="6"/>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即日起，投标人可至</w:t>
      </w:r>
      <w:r>
        <w:rPr>
          <w:rFonts w:hint="default" w:ascii="Times New Roman" w:hAnsi="Times New Roman" w:cs="Times New Roman" w:eastAsiaTheme="minorEastAsia"/>
          <w:color w:val="auto"/>
          <w:sz w:val="21"/>
          <w:szCs w:val="21"/>
        </w:rPr>
        <w:t>江苏开放大学首页下方（</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"http://www.jsou.cn/" </w:instrText>
      </w:r>
      <w:r>
        <w:rPr>
          <w:rFonts w:hint="default" w:ascii="Times New Roman" w:hAnsi="Times New Roman" w:cs="Times New Roman" w:eastAsiaTheme="minorEastAsia"/>
          <w:color w:val="auto"/>
        </w:rPr>
        <w:fldChar w:fldCharType="separate"/>
      </w:r>
      <w:r>
        <w:rPr>
          <w:rStyle w:val="33"/>
          <w:rFonts w:hint="default" w:ascii="Times New Roman" w:hAnsi="Times New Roman" w:cs="Times New Roman" w:eastAsiaTheme="minorEastAsia"/>
          <w:color w:val="auto"/>
          <w:sz w:val="21"/>
          <w:szCs w:val="21"/>
        </w:rPr>
        <w:t>http://www.jsou.cn/</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w:t>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rPr>
        <w:t>5</w:t>
      </w:r>
      <w:r>
        <w:rPr>
          <w:rFonts w:ascii="Times New Roman" w:hAnsi="Times New Roman"/>
          <w:color w:val="auto"/>
          <w:sz w:val="21"/>
          <w:szCs w:val="21"/>
        </w:rPr>
        <w:t>投标文件递交</w:t>
      </w:r>
      <w:bookmarkEnd w:id="7"/>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：2019年__</w:t>
      </w:r>
      <w:r>
        <w:rPr>
          <w:rFonts w:hint="eastAsia" w:ascii="Times New Roman" w:hAnsi="Times New Roman" w:cs="Times New Roman"/>
          <w:color w:val="auto"/>
          <w:sz w:val="21"/>
          <w:szCs w:val="21"/>
          <w:lang w:val="en-US" w:eastAsia="zh-CN"/>
        </w:rPr>
        <w:t>11</w:t>
      </w:r>
      <w:r>
        <w:rPr>
          <w:rFonts w:hint="eastAsia" w:ascii="Times New Roman" w:hAnsi="Times New Roman" w:cs="Times New Roman"/>
          <w:color w:val="auto"/>
          <w:sz w:val="21"/>
          <w:szCs w:val="21"/>
        </w:rPr>
        <w:t>__月__</w:t>
      </w:r>
      <w:r>
        <w:rPr>
          <w:rFonts w:hint="eastAsia" w:ascii="Times New Roman" w:hAnsi="Times New Roman" w:cs="Times New Roman"/>
          <w:color w:val="auto"/>
          <w:sz w:val="21"/>
          <w:szCs w:val="21"/>
          <w:lang w:val="en-US" w:eastAsia="zh-CN"/>
        </w:rPr>
        <w:t>28</w:t>
      </w:r>
      <w:r>
        <w:rPr>
          <w:rFonts w:hint="eastAsia" w:ascii="Times New Roman" w:hAnsi="Times New Roman" w:cs="Times New Roman"/>
          <w:color w:val="auto"/>
          <w:sz w:val="21"/>
          <w:szCs w:val="21"/>
        </w:rPr>
        <w:t>__日下午14：30。</w:t>
      </w:r>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w:t>
      </w:r>
      <w:r>
        <w:rPr>
          <w:rFonts w:hint="eastAsia" w:ascii="Times New Roman" w:hAnsi="Times New Roman" w:cs="Times New Roman"/>
          <w:color w:val="auto"/>
          <w:sz w:val="21"/>
          <w:szCs w:val="21"/>
          <w:lang w:val="en-US" w:eastAsia="zh-CN"/>
        </w:rPr>
        <w:t>713</w:t>
      </w:r>
      <w:r>
        <w:rPr>
          <w:rFonts w:hint="eastAsia" w:ascii="Times New Roman" w:hAnsi="Times New Roman" w:cs="Times New Roman"/>
          <w:color w:val="auto"/>
          <w:sz w:val="21"/>
          <w:szCs w:val="21"/>
        </w:rPr>
        <w:t>会议室。</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6</w:t>
      </w:r>
      <w:r>
        <w:rPr>
          <w:rFonts w:ascii="Times New Roman" w:hAnsi="Times New Roman"/>
          <w:color w:val="auto"/>
          <w:sz w:val="21"/>
          <w:szCs w:val="21"/>
        </w:rPr>
        <w:t>开标时间及地点</w:t>
      </w:r>
      <w:bookmarkEnd w:id="8"/>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：2019年__</w:t>
      </w:r>
      <w:r>
        <w:rPr>
          <w:rFonts w:hint="eastAsia" w:ascii="Times New Roman" w:hAnsi="Times New Roman" w:cs="Times New Roman"/>
          <w:color w:val="auto"/>
          <w:sz w:val="21"/>
          <w:szCs w:val="21"/>
          <w:lang w:val="en-US" w:eastAsia="zh-CN"/>
        </w:rPr>
        <w:t>11</w:t>
      </w:r>
      <w:r>
        <w:rPr>
          <w:rFonts w:hint="eastAsia" w:ascii="Times New Roman" w:hAnsi="Times New Roman" w:cs="Times New Roman"/>
          <w:color w:val="auto"/>
          <w:sz w:val="21"/>
          <w:szCs w:val="21"/>
        </w:rPr>
        <w:t>__月__</w:t>
      </w:r>
      <w:r>
        <w:rPr>
          <w:rFonts w:hint="eastAsia" w:ascii="Times New Roman" w:hAnsi="Times New Roman" w:cs="Times New Roman"/>
          <w:color w:val="auto"/>
          <w:sz w:val="21"/>
          <w:szCs w:val="21"/>
          <w:lang w:val="en-US" w:eastAsia="zh-CN"/>
        </w:rPr>
        <w:t>28</w:t>
      </w:r>
      <w:r>
        <w:rPr>
          <w:rFonts w:hint="eastAsia" w:ascii="Times New Roman" w:hAnsi="Times New Roman" w:cs="Times New Roman"/>
          <w:color w:val="auto"/>
          <w:sz w:val="21"/>
          <w:szCs w:val="21"/>
        </w:rPr>
        <w:t>__日下午14：30。</w:t>
      </w:r>
      <w:bookmarkStart w:id="50" w:name="_GoBack"/>
      <w:bookmarkEnd w:id="50"/>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1"/>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w:t>
      </w:r>
      <w:r>
        <w:rPr>
          <w:rFonts w:hint="eastAsia" w:ascii="Times New Roman" w:hAnsi="Times New Roman" w:cs="Times New Roman"/>
          <w:color w:val="auto"/>
          <w:sz w:val="21"/>
          <w:szCs w:val="21"/>
          <w:lang w:val="en-US" w:eastAsia="zh-CN"/>
        </w:rPr>
        <w:t>713</w:t>
      </w:r>
      <w:r>
        <w:rPr>
          <w:rFonts w:hint="eastAsia" w:ascii="Times New Roman" w:hAnsi="Times New Roman" w:cs="Times New Roman"/>
          <w:color w:val="auto"/>
          <w:sz w:val="21"/>
          <w:szCs w:val="21"/>
        </w:rPr>
        <w:t>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rPr>
        <w:t>7</w:t>
      </w:r>
      <w:r>
        <w:rPr>
          <w:rFonts w:ascii="Times New Roman" w:hAnsi="Times New Roman"/>
          <w:color w:val="auto"/>
          <w:sz w:val="21"/>
          <w:szCs w:val="21"/>
        </w:rPr>
        <w:t>发布公告媒介</w:t>
      </w:r>
      <w:bookmarkEnd w:id="9"/>
    </w:p>
    <w:p>
      <w:pPr>
        <w:pStyle w:val="25"/>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default" w:ascii="Times New Roman" w:hAnsi="Times New Roman" w:cs="Times New Roman" w:eastAsiaTheme="minorEastAsia"/>
          <w:color w:val="auto"/>
          <w:sz w:val="21"/>
          <w:szCs w:val="21"/>
        </w:rPr>
        <w:t>江苏开放大学首页下方（</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"http://www.jsou.cn/" </w:instrText>
      </w:r>
      <w:r>
        <w:rPr>
          <w:rFonts w:hint="default" w:ascii="Times New Roman" w:hAnsi="Times New Roman" w:cs="Times New Roman" w:eastAsiaTheme="minorEastAsia"/>
          <w:color w:val="auto"/>
        </w:rPr>
        <w:fldChar w:fldCharType="separate"/>
      </w:r>
      <w:r>
        <w:rPr>
          <w:rStyle w:val="33"/>
          <w:rFonts w:hint="default" w:ascii="Times New Roman" w:hAnsi="Times New Roman" w:cs="Times New Roman" w:eastAsiaTheme="minorEastAsia"/>
          <w:color w:val="auto"/>
          <w:sz w:val="21"/>
          <w:szCs w:val="21"/>
        </w:rPr>
        <w:t>http://www.jsou.cn/</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w:t>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联系人：张老师</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联系电话：</w:t>
      </w:r>
      <w:r>
        <w:rPr>
          <w:rFonts w:ascii="Times New Roman" w:hAnsi="Times New Roman"/>
          <w:color w:val="auto"/>
          <w:szCs w:val="21"/>
        </w:rPr>
        <w:t>025-86265422</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w:t>
      </w:r>
      <w:r>
        <w:rPr>
          <w:rFonts w:hint="eastAsia" w:ascii="Times New Roman" w:hAnsi="Times New Roman" w:cs="Times New Roman"/>
          <w:color w:val="auto"/>
          <w:sz w:val="21"/>
          <w:szCs w:val="21"/>
          <w:lang w:val="en-US" w:eastAsia="zh-CN"/>
        </w:rPr>
        <w:t>707</w:t>
      </w:r>
      <w:r>
        <w:rPr>
          <w:rFonts w:ascii="Times New Roman" w:hAnsi="Times New Roman" w:cs="Times New Roman"/>
          <w:color w:val="auto"/>
          <w:sz w:val="21"/>
          <w:szCs w:val="21"/>
        </w:rPr>
        <w:t>室</w:t>
      </w:r>
    </w:p>
    <w:p>
      <w:pPr>
        <w:pStyle w:val="25"/>
        <w:wordWrap w:val="0"/>
        <w:spacing w:before="0" w:beforeAutospacing="0" w:after="0" w:afterAutospacing="0" w:line="360" w:lineRule="auto"/>
        <w:ind w:firstLine="482"/>
        <w:rPr>
          <w:rFonts w:ascii="Times New Roman" w:hAnsi="Times New Roman" w:cs="Times New Roman"/>
          <w:color w:val="auto"/>
          <w:sz w:val="21"/>
          <w:szCs w:val="21"/>
        </w:rPr>
        <w:sectPr>
          <w:headerReference r:id="rId3" w:type="default"/>
          <w:footerReference r:id="rId4" w:type="default"/>
          <w:pgSz w:w="11906" w:h="16838"/>
          <w:pgMar w:top="1440" w:right="1800" w:bottom="1440" w:left="1800" w:header="850" w:footer="850" w:gutter="0"/>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5"/>
        <w:spacing w:before="0" w:beforeAutospacing="0" w:after="150" w:afterAutospacing="0" w:line="420" w:lineRule="atLeas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455914605"/>
      <w:bookmarkStart w:id="13" w:name="_Toc386980211"/>
      <w:bookmarkStart w:id="14" w:name="_Toc384844734"/>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w:t>
      </w:r>
      <w:r>
        <w:rPr>
          <w:rFonts w:hint="eastAsia" w:ascii="Times New Roman" w:hAnsi="Times New Roman"/>
          <w:color w:val="auto"/>
          <w:szCs w:val="21"/>
        </w:rPr>
        <w:t>针对本项目的实施方案、服务承诺等内容</w:t>
      </w:r>
      <w:r>
        <w:rPr>
          <w:rFonts w:ascii="Times New Roman" w:hAnsi="Times New Roman"/>
          <w:color w:val="auto"/>
          <w:szCs w:val="21"/>
        </w:rPr>
        <w:t>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lang w:eastAsia="zh-CN"/>
        </w:rPr>
        <w:t>应</w:t>
      </w:r>
      <w:r>
        <w:rPr>
          <w:rFonts w:hint="eastAsia" w:ascii="Times New Roman" w:hAnsi="Times New Roman"/>
          <w:color w:val="auto"/>
          <w:szCs w:val="21"/>
        </w:rPr>
        <w:t>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w:t>
      </w:r>
      <w:r>
        <w:rPr>
          <w:rFonts w:hint="eastAsia" w:ascii="Times New Roman" w:hAnsi="Times New Roman"/>
          <w:color w:val="auto"/>
          <w:szCs w:val="21"/>
          <w:lang w:eastAsia="zh-CN"/>
        </w:rPr>
        <w:t>应</w:t>
      </w:r>
      <w:r>
        <w:rPr>
          <w:rFonts w:hint="eastAsia" w:ascii="Times New Roman" w:hAnsi="Times New Roman"/>
          <w:color w:val="auto"/>
          <w:szCs w:val="21"/>
        </w:rPr>
        <w:t>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86"/>
        <w:numPr>
          <w:ilvl w:val="0"/>
          <w:numId w:val="0"/>
        </w:numPr>
        <w:spacing w:before="0" w:beforeAutospacing="0" w:after="0" w:afterAutospacing="0" w:line="360" w:lineRule="auto"/>
        <w:ind w:right="17" w:rightChars="0" w:firstLine="420" w:firstLineChars="200"/>
        <w:rPr>
          <w:rFonts w:ascii="Times New Roman" w:hAnsi="Times New Roman"/>
          <w:color w:val="auto"/>
          <w:sz w:val="21"/>
          <w:szCs w:val="21"/>
        </w:rPr>
      </w:pPr>
      <w:bookmarkStart w:id="17" w:name="_Toc386980213"/>
      <w:bookmarkStart w:id="18" w:name="_Toc455914608"/>
      <w:bookmarkStart w:id="19" w:name="_Toc384844736"/>
      <w:r>
        <w:rPr>
          <w:rFonts w:hint="eastAsia" w:ascii="Times New Roman" w:hAnsi="Times New Roman"/>
          <w:color w:val="auto"/>
          <w:sz w:val="21"/>
          <w:szCs w:val="21"/>
        </w:rPr>
        <w:t>1、投标报价为一次性报价方式，包括产品设计费、制作费、安装费、运输费、验收费、技术服务费（包括技术资料、图纸提供等）、伴随服务及因产品本身及供货相关的各种税金等全部费用。</w:t>
      </w:r>
      <w:r>
        <w:rPr>
          <w:rFonts w:hint="default" w:ascii="Times New Roman" w:hAnsi="Times New Roman" w:cs="Times New Roman" w:eastAsiaTheme="minorEastAsia"/>
          <w:color w:val="auto"/>
          <w:kern w:val="2"/>
          <w:sz w:val="21"/>
          <w:szCs w:val="21"/>
        </w:rPr>
        <w:t>投标总价须包含相关接口费用。</w:t>
      </w:r>
    </w:p>
    <w:p>
      <w:pPr>
        <w:pStyle w:val="16"/>
        <w:spacing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rPr>
        <w:t>2、报价单位需对上述项目全部报价，最低价不作为中标保证（在密封的文件上注明所投项目）。</w:t>
      </w:r>
    </w:p>
    <w:bookmarkEnd w:id="17"/>
    <w:bookmarkEnd w:id="18"/>
    <w:bookmarkEnd w:id="19"/>
    <w:p>
      <w:pPr>
        <w:pStyle w:val="5"/>
        <w:rPr>
          <w:rFonts w:ascii="Times New Roman" w:hAnsi="Times New Roman"/>
          <w:color w:val="auto"/>
          <w:sz w:val="21"/>
          <w:szCs w:val="21"/>
        </w:rPr>
      </w:pPr>
      <w:bookmarkStart w:id="20" w:name="_Toc455914609"/>
      <w:bookmarkStart w:id="21" w:name="_Toc386980214"/>
      <w:bookmarkStart w:id="22" w:name="_Toc384844737"/>
      <w:r>
        <w:rPr>
          <w:rFonts w:hint="eastAsia" w:ascii="Times New Roman" w:hAnsi="Times New Roman"/>
          <w:color w:val="auto"/>
          <w:sz w:val="21"/>
          <w:szCs w:val="21"/>
        </w:rPr>
        <w:t>2.4评标与定标</w:t>
      </w:r>
      <w:bookmarkEnd w:id="20"/>
      <w:bookmarkEnd w:id="21"/>
      <w:bookmarkEnd w:id="22"/>
    </w:p>
    <w:p>
      <w:pPr>
        <w:pStyle w:val="16"/>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1、本项目采用 </w:t>
      </w:r>
      <w:r>
        <w:rPr>
          <w:rFonts w:hint="default" w:ascii="Times New Roman" w:hAnsi="Times New Roman" w:cs="Times New Roman" w:eastAsiaTheme="minorEastAsia"/>
          <w:color w:val="auto"/>
          <w:sz w:val="21"/>
          <w:szCs w:val="21"/>
          <w:u w:val="single"/>
        </w:rPr>
        <w:t>资格后审</w:t>
      </w:r>
      <w:r>
        <w:rPr>
          <w:rFonts w:hint="default" w:ascii="Times New Roman" w:hAnsi="Times New Roman" w:cs="Times New Roman" w:eastAsiaTheme="minorEastAsia"/>
          <w:color w:val="auto"/>
          <w:sz w:val="21"/>
          <w:szCs w:val="21"/>
        </w:rPr>
        <w:t>。</w:t>
      </w:r>
    </w:p>
    <w:p>
      <w:pPr>
        <w:pStyle w:val="16"/>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经过资格审查，应有三家（含）以上合格投标人。</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 xml:space="preserve">本次招标采用 </w:t>
      </w:r>
      <w:r>
        <w:rPr>
          <w:rFonts w:hint="default" w:ascii="Times New Roman" w:hAnsi="Times New Roman" w:cs="Times New Roman" w:eastAsiaTheme="minorEastAsia"/>
          <w:color w:val="auto"/>
          <w:sz w:val="21"/>
          <w:szCs w:val="21"/>
          <w:u w:val="single"/>
        </w:rPr>
        <w:t>综合评分法</w:t>
      </w:r>
      <w:r>
        <w:rPr>
          <w:rFonts w:hint="default" w:ascii="Times New Roman" w:hAnsi="Times New Roman" w:cs="Times New Roman" w:eastAsiaTheme="minorEastAsia"/>
          <w:color w:val="auto"/>
          <w:sz w:val="21"/>
          <w:szCs w:val="21"/>
        </w:rPr>
        <w:t>，即在最大限度地满足招标文件实质性要求的前提下，按照招标文件中规定的各项因素进行综合评审后</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kern w:val="2"/>
          <w:sz w:val="21"/>
          <w:szCs w:val="21"/>
          <w:lang w:val="en-US" w:eastAsia="zh-CN" w:bidi="ar-SA"/>
        </w:rPr>
        <w:t>按得分高低顺序推荐中标候选人。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2"/>
          <w:sz w:val="21"/>
          <w:szCs w:val="21"/>
          <w:lang w:val="en-US" w:eastAsia="zh-CN" w:bidi="ar-SA"/>
        </w:rPr>
        <w:t>得分相同的，按报价从低到高顺序排列；得分且报价相同的，按技术得分从高到低顺序排列。</w:t>
      </w:r>
    </w:p>
    <w:p>
      <w:pPr>
        <w:pStyle w:val="16"/>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3、评分规则：</w:t>
      </w:r>
    </w:p>
    <w:p>
      <w:pPr>
        <w:pStyle w:val="3"/>
        <w:spacing w:before="140" w:after="140" w:line="240" w:lineRule="auto"/>
        <w:textAlignment w:val="baseline"/>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投标报价（15分）</w:t>
      </w:r>
    </w:p>
    <w:tbl>
      <w:tblPr>
        <w:tblStyle w:val="28"/>
        <w:tblW w:w="815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080"/>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7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评审项目</w:t>
            </w:r>
          </w:p>
        </w:tc>
        <w:tc>
          <w:tcPr>
            <w:tcW w:w="108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标准分</w:t>
            </w:r>
          </w:p>
        </w:tc>
        <w:tc>
          <w:tcPr>
            <w:tcW w:w="530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77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投标报价</w:t>
            </w:r>
          </w:p>
        </w:tc>
        <w:tc>
          <w:tcPr>
            <w:tcW w:w="108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w:t>
            </w:r>
          </w:p>
        </w:tc>
        <w:tc>
          <w:tcPr>
            <w:tcW w:w="5305" w:type="dxa"/>
            <w:tcBorders>
              <w:top w:val="single" w:color="auto" w:sz="4" w:space="0"/>
              <w:left w:val="single" w:color="auto" w:sz="4" w:space="0"/>
              <w:bottom w:val="single" w:color="auto" w:sz="4" w:space="0"/>
              <w:right w:val="single" w:color="auto" w:sz="4" w:space="0"/>
            </w:tcBorders>
            <w:vAlign w:val="center"/>
          </w:tcPr>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采用低价优先法计算，即满足招标文件要求且投标价格最低的投标报价为评标基准价，其价格分为满分。</w:t>
            </w:r>
          </w:p>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其他满足招标文件要求的投标人的价格分统一按照下列公式计算：投标报价得分= (评标基准价/投标报价)×15（得分保留两位小数）。</w:t>
            </w:r>
          </w:p>
        </w:tc>
      </w:tr>
    </w:tbl>
    <w:p>
      <w:pPr>
        <w:pStyle w:val="3"/>
        <w:spacing w:before="140" w:after="140" w:line="240" w:lineRule="auto"/>
        <w:textAlignment w:val="baseline"/>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商务评比（</w:t>
      </w:r>
      <w:r>
        <w:rPr>
          <w:rFonts w:hint="eastAsia" w:ascii="Times New Roman" w:hAnsi="Times New Roman" w:cs="Times New Roman" w:eastAsiaTheme="minorEastAsia"/>
          <w:b w:val="0"/>
          <w:bCs/>
          <w:color w:val="auto"/>
          <w:sz w:val="21"/>
          <w:szCs w:val="21"/>
          <w:lang w:val="en-US" w:eastAsia="zh-CN"/>
        </w:rPr>
        <w:t>25</w:t>
      </w:r>
      <w:r>
        <w:rPr>
          <w:rFonts w:hint="default" w:ascii="Times New Roman" w:hAnsi="Times New Roman" w:cs="Times New Roman" w:eastAsiaTheme="minorEastAsia"/>
          <w:b w:val="0"/>
          <w:bCs/>
          <w:color w:val="auto"/>
          <w:sz w:val="21"/>
          <w:szCs w:val="21"/>
        </w:rPr>
        <w:t>分）</w:t>
      </w:r>
    </w:p>
    <w:tbl>
      <w:tblPr>
        <w:tblStyle w:val="28"/>
        <w:tblW w:w="818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062"/>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评审项目</w:t>
            </w:r>
          </w:p>
        </w:tc>
        <w:tc>
          <w:tcPr>
            <w:tcW w:w="1062"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标准分</w:t>
            </w:r>
          </w:p>
        </w:tc>
        <w:tc>
          <w:tcPr>
            <w:tcW w:w="5423"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696" w:type="dxa"/>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投标人综合实力</w:t>
            </w:r>
          </w:p>
        </w:tc>
        <w:tc>
          <w:tcPr>
            <w:tcW w:w="1062" w:type="dxa"/>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13</w:t>
            </w:r>
          </w:p>
        </w:tc>
        <w:tc>
          <w:tcPr>
            <w:tcW w:w="5423" w:type="dxa"/>
            <w:tcBorders>
              <w:top w:val="single" w:color="auto" w:sz="4" w:space="0"/>
              <w:left w:val="single" w:color="auto" w:sz="4" w:space="0"/>
              <w:bottom w:val="single" w:color="auto" w:sz="4" w:space="0"/>
              <w:right w:val="single" w:color="auto" w:sz="4" w:space="0"/>
            </w:tcBorders>
            <w:vAlign w:val="center"/>
          </w:tcPr>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根据企业综合实力、对教育行业的专注度、业务及产品的专业性及企业创新能力、在行业用户中的口碑情况等进行综合评价，本项最高4分；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color w:val="auto"/>
                <w:sz w:val="21"/>
                <w:szCs w:val="21"/>
              </w:rPr>
            </w:pPr>
          </w:p>
        </w:tc>
        <w:tc>
          <w:tcPr>
            <w:tcW w:w="10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color w:val="auto"/>
                <w:sz w:val="21"/>
                <w:szCs w:val="21"/>
              </w:rPr>
            </w:pPr>
          </w:p>
        </w:tc>
        <w:tc>
          <w:tcPr>
            <w:tcW w:w="5423" w:type="dxa"/>
            <w:tcBorders>
              <w:top w:val="single" w:color="auto" w:sz="4" w:space="0"/>
              <w:left w:val="single" w:color="auto" w:sz="4" w:space="0"/>
              <w:bottom w:val="single" w:color="auto" w:sz="4" w:space="0"/>
              <w:right w:val="single" w:color="auto" w:sz="4" w:space="0"/>
            </w:tcBorders>
            <w:vAlign w:val="center"/>
          </w:tcPr>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通过iso27001认证得1分；</w:t>
            </w:r>
          </w:p>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获得CMMI L3资质证书得1分；</w:t>
            </w:r>
          </w:p>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提供网站群著作权证书1分；</w:t>
            </w:r>
          </w:p>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提供网页防篡改自主著作权1分；</w:t>
            </w:r>
          </w:p>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提供由公安部门出具给网站群高校用户的“信息系统安全等级保护（三级）备案证明” 得3分（证明该系统已在高校用户中通过等级保护三级测评）；</w:t>
            </w:r>
          </w:p>
          <w:p>
            <w:pPr>
              <w:pStyle w:val="16"/>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提供高校用户通过三级等保案例的得2分</w:t>
            </w:r>
            <w:r>
              <w:rPr>
                <w:rFonts w:hint="eastAsia" w:ascii="Times New Roman" w:hAnsi="Times New Roman" w:cs="Times New Roman"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类似项目业绩</w:t>
            </w:r>
          </w:p>
        </w:tc>
        <w:tc>
          <w:tcPr>
            <w:tcW w:w="1062"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w:t>
            </w:r>
          </w:p>
        </w:tc>
        <w:tc>
          <w:tcPr>
            <w:tcW w:w="5423" w:type="dxa"/>
            <w:tcBorders>
              <w:top w:val="single" w:color="auto" w:sz="4" w:space="0"/>
              <w:left w:val="single" w:color="auto" w:sz="4" w:space="0"/>
              <w:bottom w:val="single" w:color="auto" w:sz="4" w:space="0"/>
              <w:right w:val="single" w:color="auto" w:sz="4" w:space="0"/>
            </w:tcBorders>
            <w:vAlign w:val="center"/>
          </w:tcPr>
          <w:p>
            <w:pPr>
              <w:pStyle w:val="16"/>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提供近3年省内高校行业类似项目业绩1个，得1分，最多得7分（提供合同或中标通知书证明文件，复印件需加盖鲜章，原件备查）</w:t>
            </w:r>
            <w:r>
              <w:rPr>
                <w:rFonts w:hint="eastAsia" w:ascii="Times New Roman" w:hAnsi="Times New Roman" w:cs="Times New Roman"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96"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实施与服务</w:t>
            </w:r>
          </w:p>
        </w:tc>
        <w:tc>
          <w:tcPr>
            <w:tcW w:w="1062"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w:t>
            </w:r>
          </w:p>
          <w:p>
            <w:pPr>
              <w:pStyle w:val="16"/>
              <w:jc w:val="center"/>
              <w:rPr>
                <w:rFonts w:hint="default" w:ascii="Times New Roman" w:hAnsi="Times New Roman" w:cs="Times New Roman" w:eastAsiaTheme="minorEastAsia"/>
                <w:color w:val="auto"/>
                <w:sz w:val="21"/>
                <w:szCs w:val="21"/>
              </w:rPr>
            </w:pPr>
          </w:p>
        </w:tc>
        <w:tc>
          <w:tcPr>
            <w:tcW w:w="5423" w:type="dxa"/>
            <w:tcBorders>
              <w:top w:val="single" w:color="auto" w:sz="4" w:space="0"/>
              <w:left w:val="single" w:color="auto" w:sz="4" w:space="0"/>
              <w:bottom w:val="single" w:color="auto" w:sz="4" w:space="0"/>
              <w:right w:val="single" w:color="auto" w:sz="4" w:space="0"/>
            </w:tcBorders>
            <w:vAlign w:val="center"/>
          </w:tcPr>
          <w:p>
            <w:pPr>
              <w:pStyle w:val="16"/>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提供完善的实施、服务方案，完全满足用户的实施要求，得3分；</w:t>
            </w:r>
          </w:p>
          <w:p>
            <w:pPr>
              <w:pStyle w:val="16"/>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提供2人驻场服务得2分</w:t>
            </w:r>
            <w:r>
              <w:rPr>
                <w:rFonts w:hint="eastAsia" w:ascii="Times New Roman" w:hAnsi="Times New Roman" w:cs="Times New Roman" w:eastAsiaTheme="minorEastAsia"/>
                <w:color w:val="auto"/>
                <w:sz w:val="21"/>
                <w:szCs w:val="21"/>
                <w:lang w:eastAsia="zh-CN"/>
              </w:rPr>
              <w:t>。</w:t>
            </w:r>
          </w:p>
        </w:tc>
      </w:tr>
    </w:tbl>
    <w:p>
      <w:pPr>
        <w:pStyle w:val="3"/>
        <w:spacing w:before="140" w:after="140"/>
        <w:textAlignment w:val="baseline"/>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技术评比（</w:t>
      </w:r>
      <w:r>
        <w:rPr>
          <w:rFonts w:hint="eastAsia" w:ascii="Times New Roman" w:hAnsi="Times New Roman" w:cs="Times New Roman" w:eastAsiaTheme="minorEastAsia"/>
          <w:b w:val="0"/>
          <w:bCs/>
          <w:color w:val="auto"/>
          <w:sz w:val="21"/>
          <w:szCs w:val="21"/>
          <w:lang w:val="en-US" w:eastAsia="zh-CN"/>
        </w:rPr>
        <w:t>60</w:t>
      </w:r>
      <w:r>
        <w:rPr>
          <w:rFonts w:hint="default" w:ascii="Times New Roman" w:hAnsi="Times New Roman" w:cs="Times New Roman" w:eastAsiaTheme="minorEastAsia"/>
          <w:b w:val="0"/>
          <w:bCs/>
          <w:color w:val="auto"/>
          <w:sz w:val="21"/>
          <w:szCs w:val="21"/>
        </w:rPr>
        <w:t>分）</w:t>
      </w:r>
    </w:p>
    <w:tbl>
      <w:tblPr>
        <w:tblStyle w:val="28"/>
        <w:tblW w:w="85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080"/>
        <w:gridCol w:w="5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61" w:type="dxa"/>
            <w:tcBorders>
              <w:top w:val="single" w:color="auto" w:sz="4" w:space="0"/>
              <w:left w:val="single" w:color="auto" w:sz="4" w:space="0"/>
              <w:bottom w:val="single" w:color="auto" w:sz="4" w:space="0"/>
              <w:right w:val="single" w:color="auto" w:sz="4" w:space="0"/>
            </w:tcBorders>
            <w:vAlign w:val="center"/>
          </w:tcPr>
          <w:p>
            <w:pPr>
              <w:pStyle w:val="22"/>
              <w:ind w:firstLine="420" w:firstLineChars="20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评审项目</w:t>
            </w:r>
          </w:p>
        </w:tc>
        <w:tc>
          <w:tcPr>
            <w:tcW w:w="1080"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标准分</w:t>
            </w:r>
          </w:p>
        </w:tc>
        <w:tc>
          <w:tcPr>
            <w:tcW w:w="5695" w:type="dxa"/>
            <w:tcBorders>
              <w:top w:val="single" w:color="auto" w:sz="4" w:space="0"/>
              <w:left w:val="single" w:color="auto" w:sz="4" w:space="0"/>
              <w:bottom w:val="single" w:color="auto" w:sz="4" w:space="0"/>
              <w:right w:val="single" w:color="auto" w:sz="4" w:space="0"/>
            </w:tcBorders>
            <w:vAlign w:val="center"/>
          </w:tcPr>
          <w:p>
            <w:pPr>
              <w:pStyle w:val="22"/>
              <w:ind w:firstLine="420" w:firstLineChars="20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17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  项目建设方案</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w:t>
            </w:r>
          </w:p>
        </w:tc>
        <w:tc>
          <w:tcPr>
            <w:tcW w:w="5695" w:type="dxa"/>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（1）进度计划（3分）：方案优秀得 3 分，方案良好得 2 分，方案一般得 1 分</w:t>
            </w:r>
            <w:r>
              <w:rPr>
                <w:rFonts w:hint="eastAsia" w:cs="Times New Roman" w:eastAsiaTheme="minorEastAsia"/>
                <w:color w:val="auto"/>
                <w:sz w:val="21"/>
                <w:szCs w:val="21"/>
                <w:lang w:eastAsia="zh-CN"/>
              </w:rPr>
              <w:t>。</w:t>
            </w:r>
          </w:p>
          <w:p>
            <w:pPr>
              <w:widowControl/>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（2）系统功能（10分）：方案优秀得 10 分，方案良好得 5 分，方案一般得 2分</w:t>
            </w:r>
            <w:r>
              <w:rPr>
                <w:rFonts w:hint="eastAsia" w:cs="Times New Roman" w:eastAsiaTheme="minorEastAsia"/>
                <w:color w:val="auto"/>
                <w:sz w:val="21"/>
                <w:szCs w:val="21"/>
                <w:lang w:eastAsia="zh-CN"/>
              </w:rPr>
              <w:t>。</w:t>
            </w:r>
          </w:p>
          <w:p>
            <w:pPr>
              <w:widowControl/>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（3）实施方案（10分）</w:t>
            </w:r>
            <w:r>
              <w:rPr>
                <w:rFonts w:hint="eastAsia"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方案优秀得 10 分，方案良好得 5 分，方案一般得 2 分</w:t>
            </w:r>
            <w:r>
              <w:rPr>
                <w:rFonts w:hint="eastAsia" w:cs="Times New Roman" w:eastAsiaTheme="minorEastAsia"/>
                <w:color w:val="auto"/>
                <w:sz w:val="21"/>
                <w:szCs w:val="21"/>
                <w:lang w:eastAsia="zh-CN"/>
              </w:rPr>
              <w:t>。</w:t>
            </w:r>
          </w:p>
          <w:p>
            <w:pPr>
              <w:widowControl/>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（4）验收标准（4分）：方案优秀得 4 分，方案良好得 2 分，方案一般得 1 分。</w:t>
            </w:r>
          </w:p>
          <w:p>
            <w:pPr>
              <w:widowControl/>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（5）计划安排与人员配置（3分）：方案优秀得 3 分，方案良好得 2 分，方案一般得 1 分。</w:t>
            </w:r>
          </w:p>
          <w:p>
            <w:pPr>
              <w:widowControl/>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（6）项目培训方案（10分）：方案优秀得 10分，方案良好得 5 分，方案一般得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  技术方案</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w:t>
            </w:r>
          </w:p>
        </w:tc>
        <w:tc>
          <w:tcPr>
            <w:tcW w:w="5695"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完全满足招标文件要求，得 7分，带▲的技术参数若出现负偏离每项扣</w:t>
            </w:r>
            <w:r>
              <w:rPr>
                <w:rFonts w:hint="eastAsia"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 xml:space="preserve"> 分，其它条款如有负偏离每项扣 1 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  质量与保障 </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13</w:t>
            </w:r>
          </w:p>
        </w:tc>
        <w:tc>
          <w:tcPr>
            <w:tcW w:w="5695"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（1）与原学校网站群平台无缝整合，包括人员机构管理统一，后台管理统一，数据可灵活同步的合理化建议（10分）；</w:t>
            </w:r>
          </w:p>
          <w:p>
            <w:pPr>
              <w:widowControl/>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（2）质量保证措施（3分）。</w:t>
            </w:r>
          </w:p>
        </w:tc>
      </w:tr>
    </w:tbl>
    <w:p>
      <w:pPr>
        <w:snapToGrid w:val="0"/>
        <w:rPr>
          <w:rFonts w:hint="default" w:ascii="Times New Roman" w:hAnsi="Times New Roman" w:cs="Times New Roman" w:eastAsiaTheme="minorEastAsia"/>
          <w:color w:val="auto"/>
          <w:kern w:val="0"/>
          <w:sz w:val="21"/>
          <w:szCs w:val="21"/>
        </w:rPr>
      </w:pPr>
    </w:p>
    <w:p>
      <w:pPr>
        <w:snapToGrid w:val="0"/>
        <w:ind w:firstLine="420" w:firstLineChars="200"/>
        <w:rPr>
          <w:rFonts w:hint="eastAsia" w:ascii="Times New Roman" w:hAnsi="Times New Roman" w:cs="Times New Roman" w:eastAsiaTheme="minorEastAsia"/>
          <w:color w:val="auto"/>
          <w:kern w:val="0"/>
          <w:sz w:val="21"/>
          <w:szCs w:val="21"/>
          <w:lang w:val="zh-CN"/>
        </w:rPr>
      </w:pPr>
    </w:p>
    <w:p>
      <w:pPr>
        <w:spacing w:line="360" w:lineRule="auto"/>
        <w:rPr>
          <w:rFonts w:ascii="宋体" w:hAnsi="宋体" w:cs="宋体"/>
          <w:b/>
          <w:color w:val="auto"/>
          <w:kern w:val="0"/>
          <w:szCs w:val="21"/>
          <w:lang w:val="zh-CN"/>
        </w:rPr>
      </w:pPr>
      <w:r>
        <w:rPr>
          <w:rFonts w:hint="eastAsia" w:ascii="宋体" w:hAnsi="宋体" w:cs="宋体"/>
          <w:b/>
          <w:color w:val="auto"/>
          <w:kern w:val="0"/>
          <w:szCs w:val="21"/>
          <w:lang w:val="zh-CN"/>
        </w:rPr>
        <w:t>说明：</w:t>
      </w:r>
    </w:p>
    <w:p>
      <w:pPr>
        <w:spacing w:line="360" w:lineRule="auto"/>
        <w:rPr>
          <w:rFonts w:ascii="宋体" w:hAnsi="宋体" w:cs="宋体"/>
          <w:b/>
          <w:bCs/>
          <w:color w:val="auto"/>
          <w:kern w:val="0"/>
          <w:szCs w:val="21"/>
        </w:rPr>
      </w:pPr>
      <w:r>
        <w:rPr>
          <w:rFonts w:hint="eastAsia" w:ascii="宋体" w:hAnsi="宋体" w:cs="宋体"/>
          <w:b/>
          <w:bCs/>
          <w:color w:val="auto"/>
          <w:kern w:val="0"/>
          <w:szCs w:val="21"/>
        </w:rPr>
        <w:t>中小企业、残疾人福利性企业、监狱企业：</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1</w:t>
      </w:r>
      <w:r>
        <w:rPr>
          <w:rFonts w:hint="eastAsia" w:ascii="宋体" w:hAnsi="宋体" w:cs="宋体"/>
          <w:color w:val="auto"/>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2</w:t>
      </w:r>
      <w:r>
        <w:rPr>
          <w:rFonts w:hint="eastAsia" w:ascii="宋体" w:hAnsi="宋体" w:cs="宋体"/>
          <w:color w:val="auto"/>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pPr>
        <w:autoSpaceDE w:val="0"/>
        <w:autoSpaceDN w:val="0"/>
        <w:adjustRightInd w:val="0"/>
        <w:spacing w:line="360" w:lineRule="auto"/>
        <w:ind w:firstLine="210" w:firstLineChars="100"/>
        <w:rPr>
          <w:rFonts w:ascii="Calibri" w:hAnsi="Calibri" w:eastAsia="Calibri" w:cs="宋体"/>
          <w:color w:val="auto"/>
          <w:kern w:val="0"/>
          <w:szCs w:val="21"/>
          <w:lang w:val="zh-CN"/>
        </w:rPr>
      </w:pPr>
      <w:r>
        <w:rPr>
          <w:rFonts w:hint="eastAsia" w:ascii="宋体" w:hAnsi="宋体" w:cs="宋体"/>
          <w:color w:val="auto"/>
          <w:kern w:val="0"/>
          <w:szCs w:val="21"/>
          <w:lang w:val="zh-CN"/>
        </w:rPr>
        <w:t>（</w:t>
      </w:r>
      <w:r>
        <w:rPr>
          <w:rFonts w:hint="eastAsia" w:ascii="宋体" w:hAnsi="宋体" w:cs="宋体"/>
          <w:color w:val="auto"/>
          <w:kern w:val="0"/>
          <w:szCs w:val="21"/>
        </w:rPr>
        <w:t>3</w:t>
      </w:r>
      <w:r>
        <w:rPr>
          <w:rFonts w:hint="eastAsia" w:ascii="宋体" w:hAnsi="宋体" w:cs="宋体"/>
          <w:color w:val="auto"/>
          <w:kern w:val="0"/>
          <w:szCs w:val="21"/>
          <w:lang w:val="zh-CN"/>
        </w:rPr>
        <w:t>）对小型和微型企业的投标价格给予6%扣除，用扣除后的价格参与评审。</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小企业（含小型、微型企业）应当同时符合以下条件：</w:t>
      </w:r>
    </w:p>
    <w:p>
      <w:pPr>
        <w:spacing w:line="360" w:lineRule="auto"/>
        <w:ind w:firstLine="210" w:firstLineChars="100"/>
        <w:rPr>
          <w:rFonts w:ascii="宋体" w:hAnsi="宋体" w:cs="宋体"/>
          <w:color w:val="auto"/>
          <w:kern w:val="0"/>
          <w:szCs w:val="21"/>
          <w:lang w:val="zh-CN"/>
        </w:rPr>
      </w:pPr>
      <w:r>
        <w:rPr>
          <w:rFonts w:hint="eastAsia" w:ascii="宋体" w:hAnsi="宋体" w:cs="宋体"/>
          <w:color w:val="auto"/>
          <w:kern w:val="0"/>
          <w:szCs w:val="21"/>
          <w:lang w:val="zh-CN"/>
        </w:rPr>
        <w:t>1）供应商为小企业，且符合中小企业划分标准；</w:t>
      </w:r>
    </w:p>
    <w:p>
      <w:pPr>
        <w:autoSpaceDE w:val="0"/>
        <w:autoSpaceDN w:val="0"/>
        <w:adjustRightInd w:val="0"/>
        <w:spacing w:line="360" w:lineRule="auto"/>
        <w:ind w:firstLine="210" w:firstLineChars="100"/>
        <w:rPr>
          <w:rFonts w:hint="default" w:ascii="Times New Roman" w:hAnsi="Times New Roman" w:cs="Times New Roman" w:eastAsiaTheme="minorEastAsia"/>
          <w:color w:val="auto"/>
          <w:kern w:val="0"/>
          <w:sz w:val="21"/>
          <w:szCs w:val="21"/>
        </w:rPr>
      </w:pPr>
      <w:r>
        <w:rPr>
          <w:rFonts w:hint="eastAsia" w:ascii="宋体" w:hAnsi="宋体" w:cs="宋体"/>
          <w:color w:val="auto"/>
          <w:kern w:val="0"/>
          <w:szCs w:val="21"/>
          <w:lang w:val="zh-CN"/>
        </w:rPr>
        <w:t>2）提供本企业制造的货物、承担的工程或者服务，或者提供其他小企业制造的货物。如果提供的货物为大中型企业注册商标的货物，视同大中型企业。</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4</w:t>
      </w:r>
      <w:r>
        <w:rPr>
          <w:rFonts w:hint="eastAsia" w:ascii="Times New Roman" w:hAnsi="Times New Roman"/>
          <w:color w:val="auto"/>
          <w:szCs w:val="21"/>
        </w:rPr>
        <w:t>、评标结束后，投标人可至</w:t>
      </w:r>
      <w:r>
        <w:rPr>
          <w:rFonts w:hint="default" w:ascii="Times New Roman" w:hAnsi="Times New Roman" w:cs="Times New Roman" w:eastAsiaTheme="minorEastAsia"/>
          <w:color w:val="auto"/>
          <w:sz w:val="21"/>
          <w:szCs w:val="21"/>
        </w:rPr>
        <w:t>江苏开放大学首页下方（</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"http://www.jsou.cn/" </w:instrText>
      </w:r>
      <w:r>
        <w:rPr>
          <w:rFonts w:hint="default" w:ascii="Times New Roman" w:hAnsi="Times New Roman" w:cs="Times New Roman" w:eastAsiaTheme="minorEastAsia"/>
          <w:color w:val="auto"/>
        </w:rPr>
        <w:fldChar w:fldCharType="separate"/>
      </w:r>
      <w:r>
        <w:rPr>
          <w:rStyle w:val="33"/>
          <w:rFonts w:hint="default" w:ascii="Times New Roman" w:hAnsi="Times New Roman" w:cs="Times New Roman" w:eastAsiaTheme="minorEastAsia"/>
          <w:color w:val="auto"/>
          <w:sz w:val="21"/>
          <w:szCs w:val="21"/>
        </w:rPr>
        <w:t>http://www.jsou.cn/</w:t>
      </w:r>
      <w:r>
        <w:rPr>
          <w:rFonts w:hint="default" w:ascii="Times New Roman" w:hAnsi="Times New Roman" w:cs="Times New Roman" w:eastAsiaTheme="minorEastAsia"/>
          <w:color w:val="auto"/>
          <w:sz w:val="21"/>
          <w:szCs w:val="21"/>
        </w:rPr>
        <w:fldChar w:fldCharType="end"/>
      </w:r>
      <w:r>
        <w:rPr>
          <w:rFonts w:hint="default" w:ascii="Times New Roman" w:hAnsi="Times New Roman" w:cs="Times New Roman" w:eastAsiaTheme="minorEastAsia"/>
          <w:color w:val="auto"/>
          <w:sz w:val="21"/>
          <w:szCs w:val="21"/>
        </w:rPr>
        <w:t>）</w:t>
      </w:r>
      <w:r>
        <w:rPr>
          <w:rFonts w:hint="eastAsia" w:ascii="Times New Roman" w:hAnsi="Times New Roman"/>
          <w:color w:val="auto"/>
          <w:szCs w:val="21"/>
        </w:rPr>
        <w:t>“招标公告”栏的“中标公示”中查看公示最终结果。</w:t>
      </w:r>
    </w:p>
    <w:p>
      <w:pPr>
        <w:pStyle w:val="5"/>
        <w:rPr>
          <w:rStyle w:val="31"/>
          <w:rFonts w:ascii="Times New Roman" w:hAnsi="Times New Roman"/>
          <w:b/>
          <w:bCs w:val="0"/>
          <w:color w:val="auto"/>
          <w:sz w:val="21"/>
          <w:szCs w:val="21"/>
        </w:rPr>
      </w:pPr>
      <w:bookmarkStart w:id="23" w:name="_Toc455914610"/>
      <w:bookmarkStart w:id="24" w:name="_Toc386980215"/>
      <w:bookmarkStart w:id="25" w:name="_Toc384844738"/>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3"/>
      <w:bookmarkEnd w:id="24"/>
      <w:bookmarkEnd w:id="25"/>
      <w:bookmarkStart w:id="26" w:name="_Toc384844739"/>
      <w:bookmarkStart w:id="27" w:name="_Toc455914611"/>
      <w:bookmarkStart w:id="28" w:name="_Toc386980216"/>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6"/>
      <w:bookmarkEnd w:id="27"/>
      <w:bookmarkEnd w:id="28"/>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9"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9"/>
    </w:p>
    <w:p>
      <w:pPr>
        <w:pStyle w:val="16"/>
        <w:spacing w:line="360" w:lineRule="auto"/>
        <w:ind w:firstLine="420" w:firstLineChars="200"/>
        <w:rPr>
          <w:rFonts w:ascii="Times New Roman" w:hAnsi="Times New Roman"/>
          <w:color w:val="auto"/>
          <w:szCs w:val="21"/>
        </w:rPr>
      </w:pPr>
      <w:bookmarkStart w:id="30"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3</w:t>
      </w:r>
      <w:r>
        <w:rPr>
          <w:rFonts w:hint="eastAsia" w:ascii="Times New Roman" w:hAnsi="Times New Roman"/>
          <w:color w:val="auto"/>
          <w:szCs w:val="21"/>
        </w:rPr>
        <w:t>、投标文件附有招标人不能接受的条件；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4</w:t>
      </w:r>
      <w:r>
        <w:rPr>
          <w:rFonts w:hint="eastAsia" w:ascii="Times New Roman" w:hAnsi="Times New Roman"/>
          <w:color w:val="auto"/>
          <w:szCs w:val="21"/>
        </w:rPr>
        <w:t>、不符合招标文件中规定的实质性要求（报价、技术要求、投标人资质要求）；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5</w:t>
      </w:r>
      <w:r>
        <w:rPr>
          <w:rFonts w:hint="eastAsia" w:ascii="Times New Roman" w:hAnsi="Times New Roman"/>
          <w:color w:val="auto"/>
          <w:szCs w:val="21"/>
        </w:rPr>
        <w:t>、有三项及以上技术指标负偏离的；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6</w:t>
      </w:r>
      <w:r>
        <w:rPr>
          <w:rFonts w:hint="eastAsia" w:ascii="Times New Roman" w:hAnsi="Times New Roman"/>
          <w:color w:val="auto"/>
          <w:szCs w:val="21"/>
        </w:rPr>
        <w:t>、不响应招标文件规定的付款方式；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7</w:t>
      </w:r>
      <w:r>
        <w:rPr>
          <w:rFonts w:hint="eastAsia" w:ascii="Times New Roman" w:hAnsi="Times New Roman"/>
          <w:color w:val="auto"/>
          <w:szCs w:val="21"/>
        </w:rPr>
        <w:t>、有法律法规规定的其他违法行为。</w:t>
      </w:r>
    </w:p>
    <w:bookmarkEnd w:id="30"/>
    <w:p>
      <w:pPr>
        <w:pStyle w:val="5"/>
        <w:rPr>
          <w:rFonts w:ascii="Times New Roman" w:hAnsi="Times New Roman"/>
          <w:color w:val="auto"/>
          <w:sz w:val="21"/>
          <w:szCs w:val="21"/>
        </w:rPr>
      </w:pPr>
      <w:bookmarkStart w:id="31" w:name="_Toc386980217"/>
      <w:bookmarkStart w:id="32" w:name="_Toc384844740"/>
      <w:bookmarkStart w:id="33"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31"/>
      <w:bookmarkEnd w:id="32"/>
      <w:r>
        <w:rPr>
          <w:rFonts w:ascii="Times New Roman" w:hAnsi="Times New Roman"/>
          <w:color w:val="auto"/>
          <w:sz w:val="21"/>
          <w:szCs w:val="21"/>
        </w:rPr>
        <w:t>签订</w:t>
      </w:r>
      <w:bookmarkEnd w:id="33"/>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rPr>
          <w:rFonts w:ascii="Times New Roman" w:hAnsi="Times New Roman"/>
          <w:color w:val="auto"/>
          <w:sz w:val="21"/>
          <w:szCs w:val="21"/>
        </w:rPr>
      </w:pPr>
      <w:bookmarkStart w:id="34" w:name="_Toc386980218"/>
      <w:bookmarkStart w:id="35" w:name="_Toc384844741"/>
      <w:bookmarkStart w:id="36" w:name="_Toc455914616"/>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4"/>
      <w:bookmarkEnd w:id="35"/>
      <w:bookmarkEnd w:id="36"/>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中标人所供产品必须保证为正规渠道供货的正宗原厂新品，到货并安装调试完毕后</w:t>
      </w:r>
      <w:r>
        <w:rPr>
          <w:rFonts w:hint="eastAsia" w:ascii="Times New Roman" w:hAnsi="Times New Roman"/>
          <w:color w:val="auto"/>
          <w:szCs w:val="21"/>
        </w:rPr>
        <w:t>，</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2、本项目分三个阶段实施。</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第一次付款：在合同签订之日起30个工作日内，甲方向乙方支付合同总金额50%的款项；</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第二次付款：在系统完成最终检测并且通过由甲方组织的验收后，甲方向乙方支付合同总金额45%的款项</w:t>
      </w:r>
      <w:r>
        <w:rPr>
          <w:rFonts w:hint="eastAsia" w:ascii="Times New Roman" w:hAnsi="Times New Roman"/>
          <w:color w:val="auto"/>
          <w:szCs w:val="21"/>
          <w:lang w:eastAsia="zh-CN"/>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第三次付款：在系统完成最终验收后，维护期满一年后30个工作日内，甲方向乙方支付合同总金额5%的款项。</w:t>
      </w:r>
    </w:p>
    <w:p>
      <w:pPr>
        <w:pStyle w:val="16"/>
        <w:spacing w:line="360" w:lineRule="auto"/>
        <w:ind w:firstLine="420" w:firstLineChars="200"/>
        <w:rPr>
          <w:rFonts w:ascii="Times New Roman" w:hAnsi="Times New Roman"/>
          <w:color w:val="auto"/>
          <w:szCs w:val="21"/>
        </w:rPr>
        <w:sectPr>
          <w:pgSz w:w="11906" w:h="16838"/>
          <w:pgMar w:top="1440" w:right="1800" w:bottom="1440" w:left="1800" w:header="850" w:footer="850" w:gutter="0"/>
          <w:cols w:space="720" w:num="1"/>
          <w:docGrid w:type="lines" w:linePitch="312" w:charSpace="0"/>
        </w:sectPr>
      </w:pPr>
    </w:p>
    <w:p>
      <w:pPr>
        <w:pStyle w:val="5"/>
        <w:spacing w:line="360" w:lineRule="auto"/>
        <w:jc w:val="center"/>
        <w:rPr>
          <w:rFonts w:ascii="Times New Roman" w:hAnsi="Times New Roman" w:eastAsia="楷体"/>
          <w:color w:val="auto"/>
          <w:sz w:val="44"/>
        </w:rPr>
      </w:pPr>
      <w:bookmarkStart w:id="37" w:name="_Toc455914617"/>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7"/>
    </w:p>
    <w:p>
      <w:pPr>
        <w:pStyle w:val="3"/>
        <w:numPr>
          <w:ilvl w:val="0"/>
          <w:numId w:val="6"/>
        </w:numPr>
        <w:spacing w:before="0" w:after="0" w:line="360" w:lineRule="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概述</w:t>
      </w:r>
    </w:p>
    <w:p>
      <w:pPr>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江苏开放大学已建设网站群平台，通过校内各二级网站梳理、资源整合与服务重构，以网站群平台方式为江苏开放大学及部门学院提供个性化、智能化、门户网站的服务环境。同时，网站群平台已对校内非二级网站提供建站服务,并同时实现了这些网站的个性化环境。</w:t>
      </w:r>
    </w:p>
    <w:p>
      <w:pPr>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为满足江苏开放大学网站的统一规划、统一建设、统一管理、统一维护，减少硬件设备、人工管理投入等，在对部门学院网站进行调研的基础上，对部分网站进行改版并对对新部门网站进行建设，并将改版网站数据完成迁移。</w:t>
      </w:r>
    </w:p>
    <w:p>
      <w:pPr>
        <w:pStyle w:val="5"/>
        <w:numPr>
          <w:ilvl w:val="0"/>
          <w:numId w:val="6"/>
        </w:numPr>
        <w:spacing w:before="0" w:after="0" w:line="400" w:lineRule="exac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建设目标</w:t>
      </w:r>
    </w:p>
    <w:p>
      <w:pPr>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基于江苏开放大学现有网站群系统，对学校指定的部分部门、学院网站进行建设。建设完成后，可对全校网站进行整体规划和管理，降低建设成本和运营成本，统一规划提高效率，方便用户使用，提高用户满意度，提升用户对网站的关注程度，为网站日后的良性发展奠定基础。根据学校各个部门的业务职责，提供“多人协作，共同管理”的建站管理机制，网站管理维护更加高效、规范。</w:t>
      </w:r>
    </w:p>
    <w:p>
      <w:pPr>
        <w:pStyle w:val="5"/>
        <w:numPr>
          <w:ilvl w:val="0"/>
          <w:numId w:val="6"/>
        </w:numPr>
        <w:spacing w:before="0" w:after="0" w:line="400" w:lineRule="exac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部门及学院网站建设要求</w:t>
      </w:r>
    </w:p>
    <w:p>
      <w:pPr>
        <w:spacing w:line="420" w:lineRule="exact"/>
        <w:ind w:firstLine="42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须满足以下需求：</w:t>
      </w:r>
    </w:p>
    <w:p>
      <w:pPr>
        <w:numPr>
          <w:ilvl w:val="0"/>
          <w:numId w:val="7"/>
        </w:numPr>
        <w:spacing w:line="420" w:lineRule="exac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所有网站建设都须基于学校现有网站群系统建设，实现现有网站群模式的统一部署和管理；</w:t>
      </w:r>
    </w:p>
    <w:p>
      <w:pPr>
        <w:numPr>
          <w:ilvl w:val="0"/>
          <w:numId w:val="7"/>
        </w:numPr>
        <w:spacing w:line="420" w:lineRule="exac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中标商在项目实施时，须逐个部门</w:t>
      </w:r>
      <w:r>
        <w:rPr>
          <w:rFonts w:hint="eastAsia" w:cs="Times New Roman" w:eastAsiaTheme="minorEastAsia"/>
          <w:color w:val="auto"/>
          <w:sz w:val="21"/>
          <w:szCs w:val="21"/>
          <w:lang w:val="en-US" w:eastAsia="zh-CN"/>
        </w:rPr>
        <w:t>学院</w:t>
      </w:r>
      <w:r>
        <w:rPr>
          <w:rFonts w:hint="default" w:ascii="Times New Roman" w:hAnsi="Times New Roman" w:cs="Times New Roman" w:eastAsiaTheme="minorEastAsia"/>
          <w:color w:val="auto"/>
          <w:sz w:val="21"/>
          <w:szCs w:val="21"/>
        </w:rPr>
        <w:t>进行需求调研，根据要求分别进行页面设计、网站建设及老数据迁移等；</w:t>
      </w:r>
    </w:p>
    <w:p>
      <w:pPr>
        <w:numPr>
          <w:ilvl w:val="0"/>
          <w:numId w:val="7"/>
        </w:numPr>
        <w:spacing w:line="420" w:lineRule="exac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重建的所有网站须与学校主页进行对接，实现各网站相关栏目内容能够推送到学校主页进行发布；</w:t>
      </w:r>
    </w:p>
    <w:p>
      <w:pPr>
        <w:spacing w:line="420" w:lineRule="exac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具体要求如下：</w:t>
      </w:r>
    </w:p>
    <w:p>
      <w:pPr>
        <w:pStyle w:val="3"/>
        <w:numPr>
          <w:ilvl w:val="0"/>
          <w:numId w:val="8"/>
        </w:numPr>
        <w:adjustRightInd w:val="0"/>
        <w:spacing w:before="0" w:after="0" w:line="420" w:lineRule="exact"/>
        <w:textAlignment w:val="baseline"/>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前端页面设计</w:t>
      </w:r>
    </w:p>
    <w:p>
      <w:pPr>
        <w:pStyle w:val="82"/>
        <w:widowControl/>
        <w:numPr>
          <w:ilvl w:val="0"/>
          <w:numId w:val="9"/>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界面外观的设计应体现国际化，符合当下高校部门网站的国际主流设计思路，融入江苏开放大学的VI系统。</w:t>
      </w:r>
    </w:p>
    <w:p>
      <w:pPr>
        <w:pStyle w:val="82"/>
        <w:widowControl/>
        <w:numPr>
          <w:ilvl w:val="0"/>
          <w:numId w:val="9"/>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网站的栏目架构与布局设计，应以用户需求为建设的出发点和落脚点，对网站现有的信息进行重新整合分类，方便其快捷的获取所需信息。</w:t>
      </w:r>
    </w:p>
    <w:p>
      <w:pPr>
        <w:pStyle w:val="3"/>
        <w:numPr>
          <w:ilvl w:val="0"/>
          <w:numId w:val="8"/>
        </w:numPr>
        <w:adjustRightInd w:val="0"/>
        <w:spacing w:before="0" w:after="0" w:line="420" w:lineRule="exact"/>
        <w:textAlignment w:val="baseline"/>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内容管理</w:t>
      </w:r>
    </w:p>
    <w:p>
      <w:pPr>
        <w:pStyle w:val="82"/>
        <w:widowControl/>
        <w:numPr>
          <w:ilvl w:val="0"/>
          <w:numId w:val="10"/>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提供全面的内容管理功能，包括对单篇或批量文档的移动、复制、排序、置顶、推荐、发布、放入回收站、预览功能。</w:t>
      </w:r>
    </w:p>
    <w:p>
      <w:pPr>
        <w:pStyle w:val="82"/>
        <w:widowControl/>
        <w:numPr>
          <w:ilvl w:val="0"/>
          <w:numId w:val="10"/>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提供类似word的可视化的文章编辑工具，便于信息起草员的日常编辑工作，支持文本、表格、图片、Flash、视频文件等多种元素；支持一键排版，对文档自动设定段落缩进、段间距、行间距等；支持文章分页；</w:t>
      </w:r>
    </w:p>
    <w:p>
      <w:pPr>
        <w:pStyle w:val="82"/>
        <w:widowControl/>
        <w:numPr>
          <w:ilvl w:val="0"/>
          <w:numId w:val="10"/>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▲支持office（word、excel、ppt等）文档、PDF文档内容原样导入功能，导入后的格式、字体不发生任何变化。</w:t>
      </w:r>
    </w:p>
    <w:p>
      <w:pPr>
        <w:pStyle w:val="82"/>
        <w:widowControl/>
        <w:numPr>
          <w:ilvl w:val="0"/>
          <w:numId w:val="10"/>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提供文章的审核、发布流程管理，并可对不同的文件夹设置不同的审核流程。</w:t>
      </w:r>
    </w:p>
    <w:p>
      <w:pPr>
        <w:pStyle w:val="82"/>
        <w:widowControl/>
        <w:numPr>
          <w:ilvl w:val="0"/>
          <w:numId w:val="10"/>
        </w:numPr>
        <w:overflowPunct w:val="0"/>
        <w:autoSpaceDE w:val="0"/>
        <w:autoSpaceDN w:val="0"/>
        <w:adjustRightInd w:val="0"/>
        <w:spacing w:line="420" w:lineRule="exact"/>
        <w:ind w:left="0" w:firstLine="420" w:firstLineChars="0"/>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▲提供敏感词过滤功能，提供系统级别以及站点级别的敏感词库，站点管理员可以扩展自己站点内的敏感词库。</w:t>
      </w:r>
    </w:p>
    <w:p>
      <w:pPr>
        <w:pStyle w:val="82"/>
        <w:widowControl/>
        <w:numPr>
          <w:ilvl w:val="0"/>
          <w:numId w:val="10"/>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具有文章软删除功能，防止文章被误删，所有文章删除之后存放在“回收站”并可以被恢复。</w:t>
      </w:r>
    </w:p>
    <w:p>
      <w:pPr>
        <w:pStyle w:val="82"/>
        <w:widowControl/>
        <w:numPr>
          <w:ilvl w:val="0"/>
          <w:numId w:val="10"/>
        </w:numPr>
        <w:overflowPunct w:val="0"/>
        <w:autoSpaceDE w:val="0"/>
        <w:autoSpaceDN w:val="0"/>
        <w:adjustRightInd w:val="0"/>
        <w:spacing w:line="420" w:lineRule="exact"/>
        <w:ind w:left="0" w:firstLine="420" w:firstLineChars="0"/>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具有缩略图自动生成功能，可以给图片追加水印。</w:t>
      </w:r>
    </w:p>
    <w:p>
      <w:pPr>
        <w:pStyle w:val="82"/>
        <w:widowControl/>
        <w:numPr>
          <w:ilvl w:val="0"/>
          <w:numId w:val="10"/>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▲支持文章版本历史功能，可以为不同的文件夹配置是否开启版本历史功能。</w:t>
      </w:r>
    </w:p>
    <w:p>
      <w:pPr>
        <w:pStyle w:val="82"/>
        <w:widowControl/>
        <w:numPr>
          <w:ilvl w:val="0"/>
          <w:numId w:val="10"/>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▲支持文章信息字段的自定义功能。</w:t>
      </w:r>
    </w:p>
    <w:p>
      <w:pPr>
        <w:pStyle w:val="82"/>
        <w:widowControl/>
        <w:numPr>
          <w:ilvl w:val="0"/>
          <w:numId w:val="10"/>
        </w:numPr>
        <w:overflowPunct w:val="0"/>
        <w:autoSpaceDE w:val="0"/>
        <w:autoSpaceDN w:val="0"/>
        <w:adjustRightInd w:val="0"/>
        <w:spacing w:line="420" w:lineRule="exact"/>
        <w:ind w:firstLine="0" w:firstLineChars="0"/>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支持发布时权限设定，指定文章只允许被特定的浏览者访问。</w:t>
      </w:r>
    </w:p>
    <w:p>
      <w:pPr>
        <w:pStyle w:val="82"/>
        <w:widowControl/>
        <w:numPr>
          <w:ilvl w:val="0"/>
          <w:numId w:val="10"/>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支持视频上传，在线播放功能，且须至少支持flv格式的视频播放，不需要配置专门的视频点播服务。</w:t>
      </w:r>
    </w:p>
    <w:p>
      <w:pPr>
        <w:pStyle w:val="82"/>
        <w:widowControl/>
        <w:numPr>
          <w:ilvl w:val="0"/>
          <w:numId w:val="10"/>
        </w:numPr>
        <w:overflowPunct w:val="0"/>
        <w:autoSpaceDE w:val="0"/>
        <w:autoSpaceDN w:val="0"/>
        <w:adjustRightInd w:val="0"/>
        <w:spacing w:line="420" w:lineRule="exact"/>
        <w:ind w:left="0"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支持RSS功能，能够自动生成网站内的RSS摘要信息，便于RSS客户端快速获取站内相关信息；也能够对互联网上支持RSS的网站内的新闻摘要信息自动引用，并在自己的网站发布。</w:t>
      </w:r>
    </w:p>
    <w:p>
      <w:pPr>
        <w:pStyle w:val="3"/>
        <w:numPr>
          <w:ilvl w:val="0"/>
          <w:numId w:val="8"/>
        </w:numPr>
        <w:adjustRightInd w:val="0"/>
        <w:spacing w:before="0" w:after="0" w:line="420" w:lineRule="exact"/>
        <w:ind w:left="0" w:leftChars="0" w:firstLine="0" w:firstLineChars="0"/>
        <w:textAlignment w:val="baseline"/>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权限管理</w:t>
      </w:r>
    </w:p>
    <w:p>
      <w:pPr>
        <w:pStyle w:val="82"/>
        <w:numPr>
          <w:ilvl w:val="0"/>
          <w:numId w:val="11"/>
        </w:numPr>
        <w:spacing w:line="420" w:lineRule="exact"/>
        <w:ind w:left="0"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完善的权限管理及授权模式，可对所有模块、功能、组件、第三方插件统一管理授权与鉴权，能实现细粒度的权限控制与再授权功能；授权模块提供统一授权API，新增的应用模块以及第三方插件只要按照统一授权API实现授权插件，就能把应用内部的授权功能统一集中系统平台的授权模块中来管理。</w:t>
      </w:r>
    </w:p>
    <w:p>
      <w:pPr>
        <w:pStyle w:val="82"/>
        <w:numPr>
          <w:ilvl w:val="0"/>
          <w:numId w:val="11"/>
        </w:numPr>
        <w:spacing w:line="420" w:lineRule="exact"/>
        <w:ind w:left="0" w:firstLine="420" w:firstLineChar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▲支持上下级站点之间的分级授权，级站点可以设置下级站点的信息管理范围、能使用的功能组件等。</w:t>
      </w:r>
    </w:p>
    <w:p>
      <w:pPr>
        <w:pStyle w:val="82"/>
        <w:numPr>
          <w:ilvl w:val="0"/>
          <w:numId w:val="11"/>
        </w:numPr>
        <w:spacing w:line="420" w:lineRule="exact"/>
        <w:ind w:left="0"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支持各网站管理员自定义站内人员的权限，包括模板管理权限、栏目建设与信息发布权限、文档创建与审核权限、各类功能组件的管理与使用权限、创建子站的权限等，可按机构、个人、角色、IP进行授权。</w:t>
      </w:r>
    </w:p>
    <w:p>
      <w:pPr>
        <w:pStyle w:val="3"/>
        <w:numPr>
          <w:ilvl w:val="0"/>
          <w:numId w:val="8"/>
        </w:numPr>
        <w:adjustRightInd w:val="0"/>
        <w:spacing w:before="0" w:after="0" w:line="420" w:lineRule="exact"/>
        <w:ind w:left="0" w:leftChars="0" w:firstLine="0" w:firstLineChars="0"/>
        <w:textAlignment w:val="baseline"/>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统计分析</w:t>
      </w:r>
    </w:p>
    <w:p>
      <w:pPr>
        <w:spacing w:line="420" w:lineRule="exact"/>
        <w:ind w:firstLine="482"/>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需提供访问统计分析功能，技术指标如下：</w:t>
      </w:r>
    </w:p>
    <w:p>
      <w:pPr>
        <w:pStyle w:val="86"/>
        <w:numPr>
          <w:ilvl w:val="0"/>
          <w:numId w:val="12"/>
        </w:numPr>
        <w:spacing w:before="0" w:beforeAutospacing="0" w:after="0" w:afterAutospacing="0" w:line="420" w:lineRule="exact"/>
        <w:ind w:right="17"/>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访问量：可查看网站的总计访问量以及网站的平均访问量。</w:t>
      </w:r>
    </w:p>
    <w:p>
      <w:pPr>
        <w:pStyle w:val="86"/>
        <w:numPr>
          <w:ilvl w:val="0"/>
          <w:numId w:val="12"/>
        </w:numPr>
        <w:spacing w:before="0" w:beforeAutospacing="0" w:after="0" w:afterAutospacing="0" w:line="420" w:lineRule="exact"/>
        <w:ind w:right="17"/>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支持按照年、月、日、小时、时段对网站的访问量进行统计。</w:t>
      </w:r>
    </w:p>
    <w:p>
      <w:pPr>
        <w:pStyle w:val="86"/>
        <w:numPr>
          <w:ilvl w:val="0"/>
          <w:numId w:val="12"/>
        </w:numPr>
        <w:spacing w:before="0" w:beforeAutospacing="0" w:after="0" w:afterAutospacing="0" w:line="420" w:lineRule="exact"/>
        <w:ind w:right="17"/>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支持按照地址分析，统计分析省内省外访问量，校内校外访问量</w:t>
      </w:r>
      <w:r>
        <w:rPr>
          <w:rFonts w:hint="eastAsia" w:ascii="Times New Roman" w:hAnsi="Times New Roman" w:cs="Times New Roman" w:eastAsiaTheme="minorEastAsia"/>
          <w:color w:val="auto"/>
          <w:kern w:val="2"/>
          <w:sz w:val="21"/>
          <w:szCs w:val="21"/>
          <w:lang w:eastAsia="zh-CN"/>
        </w:rPr>
        <w:t>。</w:t>
      </w:r>
    </w:p>
    <w:p>
      <w:pPr>
        <w:pStyle w:val="86"/>
        <w:numPr>
          <w:ilvl w:val="0"/>
          <w:numId w:val="12"/>
        </w:numPr>
        <w:spacing w:before="0" w:beforeAutospacing="0" w:after="0" w:afterAutospacing="0" w:line="420" w:lineRule="exact"/>
        <w:ind w:right="17"/>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显示方式：系统支持以数字和图形的方式显示统计情况。</w:t>
      </w:r>
    </w:p>
    <w:p>
      <w:pPr>
        <w:pStyle w:val="86"/>
        <w:numPr>
          <w:ilvl w:val="0"/>
          <w:numId w:val="12"/>
        </w:numPr>
        <w:spacing w:before="0" w:beforeAutospacing="0" w:after="0" w:afterAutospacing="0" w:line="420" w:lineRule="exact"/>
        <w:ind w:right="17"/>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支持首页、各栏目及文章页的访问统计。</w:t>
      </w:r>
    </w:p>
    <w:p>
      <w:pPr>
        <w:pStyle w:val="86"/>
        <w:numPr>
          <w:ilvl w:val="0"/>
          <w:numId w:val="12"/>
        </w:numPr>
        <w:spacing w:before="0" w:beforeAutospacing="0" w:after="0" w:afterAutospacing="0" w:line="420" w:lineRule="exact"/>
        <w:ind w:right="17"/>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支持统计报表的自定义格式，能够对日/月/年/历史报表查询</w:t>
      </w:r>
      <w:r>
        <w:rPr>
          <w:rFonts w:hint="eastAsia" w:ascii="Times New Roman" w:hAnsi="Times New Roman" w:cs="Times New Roman" w:eastAsiaTheme="minorEastAsia"/>
          <w:color w:val="auto"/>
          <w:kern w:val="2"/>
          <w:sz w:val="21"/>
          <w:szCs w:val="21"/>
          <w:lang w:val="en-US" w:eastAsia="zh-CN"/>
        </w:rPr>
        <w:t>.</w:t>
      </w:r>
      <w:r>
        <w:rPr>
          <w:rFonts w:hint="eastAsia" w:ascii="Times New Roman" w:hAnsi="Times New Roman" w:cs="Times New Roman" w:eastAsiaTheme="minorEastAsia"/>
          <w:color w:val="auto"/>
          <w:kern w:val="2"/>
          <w:sz w:val="21"/>
          <w:szCs w:val="21"/>
          <w:lang w:eastAsia="zh-CN"/>
        </w:rPr>
        <w:t>。</w:t>
      </w:r>
    </w:p>
    <w:p>
      <w:pPr>
        <w:pStyle w:val="86"/>
        <w:numPr>
          <w:ilvl w:val="0"/>
          <w:numId w:val="12"/>
        </w:numPr>
        <w:spacing w:before="0" w:beforeAutospacing="0" w:after="0" w:afterAutospacing="0" w:line="420" w:lineRule="exact"/>
        <w:ind w:right="17"/>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可以根据部门或IP地址统计并分析访问量。</w:t>
      </w:r>
    </w:p>
    <w:p>
      <w:pPr>
        <w:pStyle w:val="5"/>
        <w:numPr>
          <w:ilvl w:val="0"/>
          <w:numId w:val="6"/>
        </w:numPr>
        <w:spacing w:before="0" w:after="0" w:line="400" w:lineRule="exact"/>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技术要求</w:t>
      </w:r>
    </w:p>
    <w:p>
      <w:pPr>
        <w:pStyle w:val="82"/>
        <w:numPr>
          <w:ilvl w:val="0"/>
          <w:numId w:val="13"/>
        </w:numPr>
        <w:spacing w:line="360" w:lineRule="auto"/>
        <w:ind w:left="0"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系统完全基于B/S的体系结构，网站的后台管理和发布浏览均基于浏览器，无须安装任何客户端或插件；</w:t>
      </w:r>
    </w:p>
    <w:p>
      <w:pPr>
        <w:pStyle w:val="82"/>
        <w:numPr>
          <w:ilvl w:val="0"/>
          <w:numId w:val="13"/>
        </w:numPr>
        <w:spacing w:line="360" w:lineRule="auto"/>
        <w:ind w:left="0" w:firstLine="420" w:firstLineChar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系统（站群）后台和各个网站管理后台实现单点登录，有权限的用户如超级管理员登陆一次，可在系统后台和各个网站后台自由切换，方便统一管理。</w:t>
      </w:r>
    </w:p>
    <w:p>
      <w:pPr>
        <w:pStyle w:val="82"/>
        <w:numPr>
          <w:ilvl w:val="0"/>
          <w:numId w:val="13"/>
        </w:numPr>
        <w:spacing w:line="360" w:lineRule="auto"/>
        <w:ind w:left="0" w:firstLine="420" w:firstLineChar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系统采用Java技术开发，具有跨平台、跨数据库的通用性和移植性，支持Windows、Linux等主流操作系统，支持Oracle、My SQL、SQL Server等主流数据库，支持Websphere、Weblogic、Tomcat等中间件。</w:t>
      </w:r>
    </w:p>
    <w:p>
      <w:pPr>
        <w:pStyle w:val="82"/>
        <w:numPr>
          <w:ilvl w:val="0"/>
          <w:numId w:val="13"/>
        </w:numPr>
        <w:spacing w:line="360" w:lineRule="auto"/>
        <w:ind w:left="0"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保证客户端使用不同浏览器时，网站页面的最终显示效果与在本系统可视化编辑状态保持一致。至少支持IE6以上版本IE、Firefox、chrome等主流浏览器。</w:t>
      </w:r>
    </w:p>
    <w:p>
      <w:pPr>
        <w:pStyle w:val="82"/>
        <w:numPr>
          <w:ilvl w:val="0"/>
          <w:numId w:val="13"/>
        </w:numPr>
        <w:spacing w:line="360" w:lineRule="auto"/>
        <w:ind w:left="0"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应用功能组件采用插拔式管理，可根据需要灵活扩展或取舍（在高校应用中成功扩展过具有高校特征的应用系统组件）；</w:t>
      </w:r>
    </w:p>
    <w:p>
      <w:pPr>
        <w:widowControl/>
        <w:overflowPunct w:val="0"/>
        <w:autoSpaceDE w:val="0"/>
        <w:autoSpaceDN w:val="0"/>
        <w:adjustRightInd w:val="0"/>
        <w:spacing w:line="420" w:lineRule="exact"/>
        <w:ind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6）采用模板与信息分离的技术，栏目与模板构建了站点的展示结构，后台栏目内容可任意组合在前台页面显示。</w:t>
      </w:r>
    </w:p>
    <w:p>
      <w:pPr>
        <w:widowControl/>
        <w:overflowPunct w:val="0"/>
        <w:autoSpaceDE w:val="0"/>
        <w:autoSpaceDN w:val="0"/>
        <w:adjustRightInd w:val="0"/>
        <w:spacing w:line="420" w:lineRule="exact"/>
        <w:ind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7）具备静态页面生成功能，支持动静结合的部署方式，动、静态可分开部署，当动态服务器出现故障时，静态发布页面可正常访问。</w:t>
      </w:r>
    </w:p>
    <w:p>
      <w:pPr>
        <w:widowControl/>
        <w:overflowPunct w:val="0"/>
        <w:autoSpaceDE w:val="0"/>
        <w:autoSpaceDN w:val="0"/>
        <w:adjustRightInd w:val="0"/>
        <w:spacing w:line="420" w:lineRule="exact"/>
        <w:ind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8）可实现所有站点静态页面同时发布到一台或多台服务器上，或不同站点的静态页面发布到不同的服务器上。静态页面需自动生成，在对站点模板、栏目或文章做任何修改后，静态页面能自动增量更新，无需手工触发。</w:t>
      </w:r>
    </w:p>
    <w:p>
      <w:pPr>
        <w:widowControl/>
        <w:overflowPunct w:val="0"/>
        <w:autoSpaceDE w:val="0"/>
        <w:autoSpaceDN w:val="0"/>
        <w:adjustRightInd w:val="0"/>
        <w:spacing w:line="420" w:lineRule="exact"/>
        <w:ind w:firstLine="367" w:firstLineChars="175"/>
        <w:jc w:val="left"/>
        <w:textAlignment w:val="baseline"/>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9）静态页面自动生成，在对站点模板、栏目或文章做任何修改后，静态页面能自动增量更新，无需手工触发。</w:t>
      </w:r>
    </w:p>
    <w:p>
      <w:pPr>
        <w:spacing w:line="360" w:lineRule="auto"/>
        <w:ind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10）系统具有高度的安全性和稳定性，防止非授权用户的非法侵入、攻击，避免操作人员的越级操作，软件自身具备网页防篡改（无需采购第三方防篡改软件）、防注入式攻击、脚本过滤、防口令猜测、ip地址访问控制等安全措施；</w:t>
      </w:r>
    </w:p>
    <w:p>
      <w:pPr>
        <w:spacing w:line="360" w:lineRule="auto"/>
        <w:ind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11）系统应提供7×24小时的连续运行，平均年故障时间小于1天，平均故障修复时间小于60分钟。</w:t>
      </w:r>
    </w:p>
    <w:p>
      <w:pPr>
        <w:spacing w:line="360" w:lineRule="auto"/>
        <w:ind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12）系统具备容灾备份能力，根据学校网站的特点，能够记录系统访问日志及操作日志，备份和恢复系统数据，保证系统安全稳定运行。</w:t>
      </w:r>
    </w:p>
    <w:p>
      <w:pPr>
        <w:pStyle w:val="86"/>
        <w:spacing w:before="0" w:beforeAutospacing="0" w:after="0" w:afterAutospacing="0" w:line="420" w:lineRule="exact"/>
        <w:ind w:right="17" w:firstLine="367" w:firstLineChars="175"/>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13）系统具备良好的应用集成扩展能力，提供标准的数据接口，支持二次开发，能实现与其他应用系统的数据交换；支持与数字化校园相关身份认证平台的集成，满足学校将来数字化校园项目建设的规划。</w:t>
      </w:r>
    </w:p>
    <w:p>
      <w:pPr>
        <w:pStyle w:val="5"/>
        <w:numPr>
          <w:ilvl w:val="0"/>
          <w:numId w:val="6"/>
        </w:numPr>
        <w:spacing w:before="0" w:after="0" w:line="400" w:lineRule="exact"/>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项目实施内容及要求</w:t>
      </w:r>
    </w:p>
    <w:p>
      <w:pPr>
        <w:snapToGrid w:val="0"/>
        <w:spacing w:line="360" w:lineRule="auto"/>
        <w:ind w:firstLine="420" w:firstLineChars="200"/>
        <w:rPr>
          <w:rFonts w:hint="default" w:ascii="Times New Roman" w:hAnsi="Times New Roman" w:cs="Times New Roman" w:eastAsiaTheme="minorEastAsia"/>
          <w:color w:val="auto"/>
          <w:sz w:val="21"/>
          <w:szCs w:val="21"/>
        </w:rPr>
      </w:pPr>
    </w:p>
    <w:tbl>
      <w:tblPr>
        <w:tblStyle w:val="28"/>
        <w:tblW w:w="7784" w:type="dxa"/>
        <w:tblInd w:w="113" w:type="dxa"/>
        <w:tblLayout w:type="fixed"/>
        <w:tblCellMar>
          <w:top w:w="0" w:type="dxa"/>
          <w:left w:w="108" w:type="dxa"/>
          <w:bottom w:w="0" w:type="dxa"/>
          <w:right w:w="108" w:type="dxa"/>
        </w:tblCellMar>
      </w:tblPr>
      <w:tblGrid>
        <w:gridCol w:w="1000"/>
        <w:gridCol w:w="3949"/>
        <w:gridCol w:w="2835"/>
      </w:tblGrid>
      <w:tr>
        <w:trPr>
          <w:trHeight w:val="50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color w:val="auto"/>
                <w:kern w:val="0"/>
                <w:sz w:val="21"/>
                <w:szCs w:val="21"/>
              </w:rPr>
            </w:pPr>
            <w:bookmarkStart w:id="38" w:name="RANGE!A1:E17"/>
            <w:r>
              <w:rPr>
                <w:rFonts w:hint="default" w:ascii="Times New Roman" w:hAnsi="Times New Roman" w:cs="Times New Roman" w:eastAsiaTheme="minorEastAsia"/>
                <w:b/>
                <w:bCs/>
                <w:color w:val="auto"/>
                <w:kern w:val="0"/>
                <w:sz w:val="21"/>
                <w:szCs w:val="21"/>
              </w:rPr>
              <w:t>序号</w:t>
            </w:r>
            <w:bookmarkEnd w:id="38"/>
          </w:p>
        </w:tc>
        <w:tc>
          <w:tcPr>
            <w:tcW w:w="394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网站名称</w:t>
            </w:r>
          </w:p>
        </w:tc>
        <w:tc>
          <w:tcPr>
            <w:tcW w:w="283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备忘</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工会</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优化</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离退休</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优化</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商学院</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优化</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纪委</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优化</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5</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基建处</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6</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信息工程学院</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7</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信息化建设处</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8</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老年文化艺术研究所</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9</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审计处</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10</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艺术学院</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11</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新校区建设专题网站</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12</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第一党总支</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13</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团委</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14</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学分银行管理中心</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r>
        <w:tblPrEx>
          <w:tblCellMar>
            <w:top w:w="0" w:type="dxa"/>
            <w:left w:w="108" w:type="dxa"/>
            <w:bottom w:w="0" w:type="dxa"/>
            <w:right w:w="108" w:type="dxa"/>
          </w:tblCellMar>
        </w:tblPrEx>
        <w:trPr>
          <w:trHeight w:val="500" w:hRule="atLeast"/>
        </w:trPr>
        <w:tc>
          <w:tcPr>
            <w:tcW w:w="10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15</w:t>
            </w:r>
          </w:p>
        </w:tc>
        <w:tc>
          <w:tcPr>
            <w:tcW w:w="39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不忘初心 牢记使命</w:t>
            </w:r>
          </w:p>
        </w:tc>
        <w:tc>
          <w:tcPr>
            <w:tcW w:w="28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新建</w:t>
            </w:r>
          </w:p>
        </w:tc>
      </w:tr>
    </w:tbl>
    <w:p>
      <w:pPr>
        <w:snapToGrid w:val="0"/>
        <w:spacing w:line="360" w:lineRule="auto"/>
        <w:ind w:firstLine="420" w:firstLineChars="200"/>
        <w:rPr>
          <w:rFonts w:hint="default" w:ascii="Times New Roman" w:hAnsi="Times New Roman" w:cs="Times New Roman" w:eastAsiaTheme="minorEastAsia"/>
          <w:color w:val="auto"/>
          <w:sz w:val="21"/>
          <w:szCs w:val="21"/>
        </w:rPr>
      </w:pPr>
    </w:p>
    <w:p>
      <w:pPr>
        <w:snapToGrid w:val="0"/>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需求复杂，涉及部门、环节多，为了保证实施过程顺利有序，投标人必须制定出详尽缜密的实施方案，主要内容应包括以下几个方面：</w:t>
      </w:r>
    </w:p>
    <w:p>
      <w:pPr>
        <w:numPr>
          <w:ilvl w:val="0"/>
          <w:numId w:val="14"/>
        </w:numPr>
        <w:spacing w:line="360" w:lineRule="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组织架构与职责</w:t>
      </w:r>
    </w:p>
    <w:p>
      <w:pPr>
        <w:pStyle w:val="38"/>
        <w:numPr>
          <w:ilvl w:val="0"/>
          <w:numId w:val="15"/>
        </w:numPr>
        <w:spacing w:line="360" w:lineRule="auto"/>
        <w:ind w:firstLineChar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描述项目成员的组成，以及成员的职责。</w:t>
      </w:r>
    </w:p>
    <w:p>
      <w:pPr>
        <w:pStyle w:val="38"/>
        <w:numPr>
          <w:ilvl w:val="0"/>
          <w:numId w:val="15"/>
        </w:numPr>
        <w:spacing w:line="360" w:lineRule="auto"/>
        <w:ind w:firstLineChars="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提供项目经理一人，负责全程跟踪项目的开发与实施，直至该项目验收。该项目经理必须具备985及211类高校同类项目成功实施及管理经验，并在项目中承担项目经理职务。</w:t>
      </w:r>
    </w:p>
    <w:p>
      <w:pPr>
        <w:numPr>
          <w:ilvl w:val="0"/>
          <w:numId w:val="14"/>
        </w:numPr>
        <w:spacing w:line="360" w:lineRule="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实施阶段划分</w:t>
      </w:r>
    </w:p>
    <w:p>
      <w:pPr>
        <w:snapToGrid w:val="0"/>
        <w:spacing w:line="3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描述各个实施阶段的工作范围、内容、人力投入、过程、责任、交付成果等。</w:t>
      </w:r>
    </w:p>
    <w:p>
      <w:pPr>
        <w:numPr>
          <w:ilvl w:val="0"/>
          <w:numId w:val="14"/>
        </w:numPr>
        <w:spacing w:line="360" w:lineRule="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项目管理要求</w:t>
      </w:r>
    </w:p>
    <w:p>
      <w:pPr>
        <w:snapToGrid w:val="0"/>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1）投标方必须提出对项目的建设进行科学严格的管理方案与措施，保证项目全面顺利实施。</w:t>
      </w:r>
    </w:p>
    <w:p>
      <w:pPr>
        <w:snapToGrid w:val="0"/>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2）投标方需提供至少1人驻场开发。</w:t>
      </w:r>
    </w:p>
    <w:p>
      <w:pPr>
        <w:numPr>
          <w:ilvl w:val="0"/>
          <w:numId w:val="14"/>
        </w:numPr>
        <w:spacing w:line="360" w:lineRule="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项目配置管理</w:t>
      </w:r>
    </w:p>
    <w:p>
      <w:pPr>
        <w:snapToGrid w:val="0"/>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在项目的建设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因此，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和系统的后续升级和维护。</w:t>
      </w:r>
    </w:p>
    <w:p>
      <w:pPr>
        <w:numPr>
          <w:ilvl w:val="0"/>
          <w:numId w:val="14"/>
        </w:numPr>
        <w:spacing w:line="360" w:lineRule="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项目管理规范和手段</w:t>
      </w:r>
    </w:p>
    <w:p>
      <w:pPr>
        <w:snapToGrid w:val="0"/>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根据项目的实施方案，在实施过程中，为了保证用户方、开发方能够对项目建设实施进行监控，及时发现和解决的问题，必须建立相应的项目管理规范，包括项目执行监控流程、执行监控的方法、执行监控的责任等，使管理和监控工作流程化、规范化，管理和监控工作责任明确。</w:t>
      </w:r>
    </w:p>
    <w:p>
      <w:pPr>
        <w:numPr>
          <w:ilvl w:val="0"/>
          <w:numId w:val="14"/>
        </w:numPr>
        <w:spacing w:line="360" w:lineRule="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项目管理控制</w:t>
      </w:r>
    </w:p>
    <w:p>
      <w:pPr>
        <w:snapToGrid w:val="0"/>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项目的管理控制包含多个方面：项目范围、风险、进度、质量、变更管理控制，贯穿项目开发建设的始终，必须做到对项目建设范围准确定义，一旦范围发生变更，要有相应的变更控制和应对措施。</w:t>
      </w:r>
    </w:p>
    <w:p>
      <w:pPr>
        <w:numPr>
          <w:ilvl w:val="0"/>
          <w:numId w:val="14"/>
        </w:numPr>
        <w:spacing w:line="360" w:lineRule="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风险管理</w:t>
      </w:r>
    </w:p>
    <w:p>
      <w:pPr>
        <w:snapToGrid w:val="0"/>
        <w:spacing w:line="360" w:lineRule="auto"/>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pPr>
        <w:numPr>
          <w:ilvl w:val="0"/>
          <w:numId w:val="14"/>
        </w:numPr>
        <w:spacing w:line="360" w:lineRule="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培训要求</w:t>
      </w:r>
    </w:p>
    <w:p>
      <w:pPr>
        <w:pStyle w:val="38"/>
        <w:numPr>
          <w:ilvl w:val="0"/>
          <w:numId w:val="16"/>
        </w:numPr>
        <w:spacing w:line="360" w:lineRule="auto"/>
        <w:ind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在项目合同中将具体规定培训内容、培训时间和培训名额等。</w:t>
      </w:r>
    </w:p>
    <w:p>
      <w:pPr>
        <w:pStyle w:val="38"/>
        <w:numPr>
          <w:ilvl w:val="0"/>
          <w:numId w:val="16"/>
        </w:numPr>
        <w:spacing w:line="360" w:lineRule="auto"/>
        <w:ind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投标人派出的培训教员应具有丰富的同类课程的教学经验和应用经验；所有的培训教员必须用中文授课；投标人必须为所有被培训人员提供培训用文字资料和讲义等相关材料。</w:t>
      </w:r>
    </w:p>
    <w:p>
      <w:pPr>
        <w:pStyle w:val="38"/>
        <w:numPr>
          <w:ilvl w:val="0"/>
          <w:numId w:val="16"/>
        </w:numPr>
        <w:spacing w:line="360" w:lineRule="auto"/>
        <w:ind w:firstLine="367" w:firstLineChars="175"/>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投标人应按合同规定安排培训时间和培训名额，在实施过程中，针对系统管理人员提供培训，保证培训的效果，让系统管理人员都能熟练掌握系统的使用方法。</w:t>
      </w:r>
    </w:p>
    <w:p>
      <w:pPr>
        <w:pStyle w:val="86"/>
        <w:numPr>
          <w:ilvl w:val="0"/>
          <w:numId w:val="17"/>
        </w:numPr>
        <w:tabs>
          <w:tab w:val="left" w:pos="0"/>
          <w:tab w:val="clear" w:pos="964"/>
        </w:tabs>
        <w:spacing w:before="0" w:beforeAutospacing="0" w:after="0" w:afterAutospacing="0" w:line="420" w:lineRule="exact"/>
        <w:ind w:left="0" w:right="17" w:firstLine="367" w:firstLineChars="175"/>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合同签订一个月内按要求完成江苏开放大学指定部门或学院网站建设。</w:t>
      </w:r>
    </w:p>
    <w:p>
      <w:pPr>
        <w:pStyle w:val="86"/>
        <w:numPr>
          <w:ilvl w:val="0"/>
          <w:numId w:val="17"/>
        </w:numPr>
        <w:tabs>
          <w:tab w:val="left" w:pos="0"/>
          <w:tab w:val="clear" w:pos="964"/>
        </w:tabs>
        <w:spacing w:before="0" w:beforeAutospacing="0" w:after="0" w:afterAutospacing="0" w:line="420" w:lineRule="exact"/>
        <w:ind w:left="0" w:right="17" w:firstLine="367" w:firstLineChars="175"/>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免费提供1年的技术服务，包括系统升级、远程诊断服务、系统管理咨询服务、应急处理服务等。提供7*24小时的即时电话、邮件等服务，若远程不能解决问题时，应可提供上门服务。</w:t>
      </w:r>
    </w:p>
    <w:p>
      <w:pPr>
        <w:spacing w:line="360" w:lineRule="auto"/>
        <w:rPr>
          <w:rFonts w:hint="default" w:ascii="Times New Roman" w:hAnsi="Times New Roman" w:cs="Times New Roman" w:eastAsiaTheme="minorEastAsia"/>
          <w:color w:val="auto"/>
          <w:sz w:val="21"/>
          <w:szCs w:val="21"/>
        </w:rPr>
      </w:pPr>
    </w:p>
    <w:p>
      <w:pPr>
        <w:spacing w:line="360" w:lineRule="auto"/>
        <w:ind w:firstLine="420" w:firstLineChars="200"/>
        <w:rPr>
          <w:color w:val="auto"/>
          <w:szCs w:val="21"/>
        </w:rPr>
      </w:pPr>
    </w:p>
    <w:p>
      <w:pPr>
        <w:rPr>
          <w:rFonts w:eastAsia="楷体"/>
          <w:color w:val="auto"/>
          <w:sz w:val="44"/>
        </w:r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rPr>
          <w:color w:val="auto"/>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color w:val="auto"/>
          <w:kern w:val="44"/>
          <w:sz w:val="44"/>
          <w:szCs w:val="44"/>
        </w:rPr>
        <w:sectPr>
          <w:pgSz w:w="11906" w:h="16838"/>
          <w:pgMar w:top="1440" w:right="1800" w:bottom="1440" w:left="180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color w:val="auto"/>
          <w:sz w:val="24"/>
        </w:rPr>
      </w:pPr>
      <w:r>
        <w:rPr>
          <w:rFonts w:hint="eastAsia" w:ascii="宋体" w:hAnsi="宋体"/>
          <w:b/>
          <w:bCs/>
          <w:color w:val="auto"/>
          <w:kern w:val="44"/>
          <w:sz w:val="44"/>
          <w:szCs w:val="44"/>
        </w:rPr>
        <w:t>江苏开放大学合同专用条款</w:t>
      </w:r>
    </w:p>
    <w:p>
      <w:pPr>
        <w:pStyle w:val="16"/>
        <w:spacing w:line="360" w:lineRule="auto"/>
        <w:rPr>
          <w:rFonts w:ascii="Times New Roman" w:hAnsi="Times New Roman"/>
          <w:color w:val="auto"/>
          <w:szCs w:val="21"/>
        </w:rPr>
      </w:pPr>
      <w:bookmarkStart w:id="39" w:name="hetongStart"/>
      <w:bookmarkEnd w:id="39"/>
    </w:p>
    <w:p>
      <w:pPr>
        <w:autoSpaceDN w:val="0"/>
        <w:spacing w:line="300" w:lineRule="auto"/>
        <w:rPr>
          <w:rFonts w:ascii="宋体" w:hAnsi="宋体" w:cs="宋体"/>
          <w:color w:val="auto"/>
          <w:kern w:val="0"/>
          <w:sz w:val="24"/>
          <w:szCs w:val="20"/>
        </w:rPr>
      </w:pPr>
      <w:r>
        <w:rPr>
          <w:rFonts w:hint="eastAsia" w:ascii="宋体" w:hAnsi="宋体" w:cs="宋体"/>
          <w:color w:val="auto"/>
          <w:kern w:val="0"/>
          <w:sz w:val="24"/>
          <w:szCs w:val="20"/>
        </w:rPr>
        <w:t>甲方：</w:t>
      </w:r>
      <w:r>
        <w:rPr>
          <w:rFonts w:ascii="宋体" w:hAnsi="宋体" w:cs="宋体"/>
          <w:color w:val="auto"/>
          <w:kern w:val="0"/>
          <w:sz w:val="24"/>
          <w:szCs w:val="20"/>
        </w:rPr>
        <w:t xml:space="preserve"> </w:t>
      </w:r>
      <w:r>
        <w:rPr>
          <w:rFonts w:hint="eastAsia" w:ascii="宋体" w:hAnsi="宋体" w:cs="宋体"/>
          <w:color w:val="auto"/>
          <w:kern w:val="0"/>
          <w:sz w:val="24"/>
          <w:szCs w:val="20"/>
        </w:rPr>
        <w:t>江苏开放大学</w:t>
      </w:r>
    </w:p>
    <w:p>
      <w:pPr>
        <w:spacing w:line="300" w:lineRule="auto"/>
        <w:rPr>
          <w:rFonts w:ascii="宋体" w:hAnsi="宋体" w:cs="宋体"/>
          <w:color w:val="auto"/>
          <w:kern w:val="0"/>
          <w:sz w:val="24"/>
          <w:szCs w:val="20"/>
        </w:rPr>
      </w:pPr>
      <w:bookmarkStart w:id="40" w:name="OLE_LINK3"/>
      <w:r>
        <w:rPr>
          <w:rFonts w:hint="eastAsia" w:ascii="宋体" w:hAnsi="宋体" w:cs="宋体"/>
          <w:color w:val="auto"/>
          <w:kern w:val="0"/>
          <w:sz w:val="24"/>
          <w:szCs w:val="20"/>
        </w:rPr>
        <w:t>地址：</w:t>
      </w:r>
      <w:r>
        <w:rPr>
          <w:rFonts w:ascii="宋体" w:hAnsi="宋体" w:cs="宋体"/>
          <w:color w:val="auto"/>
          <w:kern w:val="0"/>
          <w:sz w:val="24"/>
          <w:szCs w:val="20"/>
        </w:rPr>
        <w:t xml:space="preserve"> </w:t>
      </w:r>
    </w:p>
    <w:p>
      <w:pPr>
        <w:rPr>
          <w:rFonts w:ascii="宋体" w:hAnsi="宋体" w:cs="宋体"/>
          <w:color w:val="auto"/>
          <w:kern w:val="0"/>
          <w:sz w:val="24"/>
          <w:szCs w:val="20"/>
        </w:rPr>
      </w:pPr>
      <w:r>
        <w:rPr>
          <w:rFonts w:hint="eastAsia" w:ascii="宋体" w:hAnsi="宋体" w:cs="宋体"/>
          <w:color w:val="auto"/>
          <w:kern w:val="0"/>
          <w:sz w:val="24"/>
          <w:szCs w:val="20"/>
        </w:rPr>
        <w:t>联系人：</w:t>
      </w:r>
    </w:p>
    <w:p>
      <w:pPr>
        <w:spacing w:line="300" w:lineRule="auto"/>
        <w:rPr>
          <w:rFonts w:ascii="宋体" w:hAnsi="宋体" w:cs="宋体"/>
          <w:color w:val="auto"/>
          <w:kern w:val="0"/>
          <w:sz w:val="24"/>
          <w:szCs w:val="20"/>
        </w:rPr>
      </w:pPr>
      <w:r>
        <w:rPr>
          <w:rFonts w:hint="eastAsia" w:ascii="宋体" w:hAnsi="宋体" w:cs="宋体"/>
          <w:color w:val="auto"/>
          <w:kern w:val="0"/>
          <w:sz w:val="24"/>
          <w:szCs w:val="20"/>
        </w:rPr>
        <w:t>电话：</w:t>
      </w:r>
    </w:p>
    <w:p>
      <w:pPr>
        <w:autoSpaceDN w:val="0"/>
        <w:spacing w:line="300" w:lineRule="auto"/>
        <w:rPr>
          <w:rFonts w:ascii="宋体" w:hAnsi="宋体" w:cs="宋体"/>
          <w:color w:val="auto"/>
          <w:kern w:val="0"/>
          <w:sz w:val="24"/>
          <w:szCs w:val="20"/>
        </w:rPr>
      </w:pPr>
      <w:r>
        <w:rPr>
          <w:rFonts w:hint="eastAsia" w:ascii="宋体" w:hAnsi="宋体" w:cs="宋体"/>
          <w:color w:val="auto"/>
          <w:kern w:val="0"/>
          <w:sz w:val="24"/>
          <w:szCs w:val="20"/>
        </w:rPr>
        <w:t>邮编：</w:t>
      </w:r>
    </w:p>
    <w:bookmarkEnd w:id="40"/>
    <w:p>
      <w:pPr>
        <w:spacing w:after="120"/>
        <w:rPr>
          <w:rFonts w:ascii="宋体" w:hAnsi="宋体" w:cs="宋体"/>
          <w:color w:val="auto"/>
          <w:kern w:val="0"/>
          <w:sz w:val="24"/>
          <w:szCs w:val="20"/>
        </w:rPr>
      </w:pPr>
    </w:p>
    <w:p>
      <w:pPr>
        <w:autoSpaceDN w:val="0"/>
        <w:spacing w:line="300" w:lineRule="auto"/>
        <w:rPr>
          <w:rFonts w:ascii="宋体" w:hAnsi="宋体" w:cs="宋体"/>
          <w:color w:val="auto"/>
          <w:kern w:val="0"/>
          <w:sz w:val="24"/>
          <w:szCs w:val="20"/>
        </w:rPr>
      </w:pPr>
      <w:r>
        <w:rPr>
          <w:rFonts w:hint="eastAsia" w:ascii="宋体" w:hAnsi="宋体" w:cs="宋体"/>
          <w:color w:val="auto"/>
          <w:kern w:val="0"/>
          <w:sz w:val="24"/>
          <w:szCs w:val="20"/>
        </w:rPr>
        <w:t>乙方：</w:t>
      </w:r>
    </w:p>
    <w:p>
      <w:pPr>
        <w:autoSpaceDN w:val="0"/>
        <w:spacing w:line="300" w:lineRule="auto"/>
        <w:rPr>
          <w:rFonts w:ascii="宋体" w:hAnsi="宋体" w:cs="宋体"/>
          <w:color w:val="auto"/>
          <w:kern w:val="0"/>
          <w:sz w:val="24"/>
          <w:szCs w:val="20"/>
        </w:rPr>
      </w:pPr>
      <w:r>
        <w:rPr>
          <w:rFonts w:hint="eastAsia" w:ascii="宋体" w:hAnsi="宋体" w:cs="宋体"/>
          <w:color w:val="auto"/>
          <w:kern w:val="0"/>
          <w:sz w:val="24"/>
          <w:szCs w:val="20"/>
        </w:rPr>
        <w:t>地址：</w:t>
      </w:r>
    </w:p>
    <w:p>
      <w:pPr>
        <w:autoSpaceDN w:val="0"/>
        <w:spacing w:line="300" w:lineRule="auto"/>
        <w:rPr>
          <w:rFonts w:ascii="宋体" w:hAnsi="宋体" w:cs="宋体"/>
          <w:color w:val="auto"/>
          <w:kern w:val="0"/>
          <w:sz w:val="24"/>
          <w:szCs w:val="20"/>
        </w:rPr>
      </w:pPr>
      <w:r>
        <w:rPr>
          <w:rFonts w:hint="eastAsia" w:ascii="宋体" w:hAnsi="宋体" w:cs="宋体"/>
          <w:color w:val="auto"/>
          <w:kern w:val="0"/>
          <w:sz w:val="24"/>
          <w:szCs w:val="20"/>
        </w:rPr>
        <w:t>法定代表人：</w:t>
      </w:r>
    </w:p>
    <w:p>
      <w:pPr>
        <w:autoSpaceDN w:val="0"/>
        <w:spacing w:line="300" w:lineRule="auto"/>
        <w:rPr>
          <w:rFonts w:ascii="宋体" w:hAnsi="宋体" w:cs="宋体"/>
          <w:color w:val="auto"/>
          <w:kern w:val="0"/>
          <w:sz w:val="24"/>
          <w:szCs w:val="20"/>
        </w:rPr>
      </w:pPr>
      <w:r>
        <w:rPr>
          <w:rFonts w:hint="eastAsia" w:ascii="宋体" w:hAnsi="宋体" w:cs="宋体"/>
          <w:color w:val="auto"/>
          <w:kern w:val="0"/>
          <w:sz w:val="24"/>
          <w:szCs w:val="20"/>
        </w:rPr>
        <w:t>联系人：</w:t>
      </w:r>
    </w:p>
    <w:p>
      <w:pPr>
        <w:autoSpaceDN w:val="0"/>
        <w:spacing w:line="300" w:lineRule="auto"/>
        <w:rPr>
          <w:rFonts w:ascii="宋体" w:hAnsi="宋体" w:cs="宋体"/>
          <w:color w:val="auto"/>
          <w:kern w:val="0"/>
          <w:sz w:val="24"/>
          <w:szCs w:val="20"/>
        </w:rPr>
      </w:pPr>
      <w:r>
        <w:rPr>
          <w:rFonts w:hint="eastAsia" w:ascii="宋体" w:hAnsi="宋体" w:cs="宋体"/>
          <w:color w:val="auto"/>
          <w:kern w:val="0"/>
          <w:sz w:val="24"/>
          <w:szCs w:val="20"/>
        </w:rPr>
        <w:t>电话：</w:t>
      </w:r>
    </w:p>
    <w:p>
      <w:pPr>
        <w:autoSpaceDN w:val="0"/>
        <w:spacing w:line="300" w:lineRule="auto"/>
        <w:rPr>
          <w:rFonts w:ascii="宋体" w:hAnsi="宋体" w:cs="宋体"/>
          <w:color w:val="auto"/>
          <w:kern w:val="0"/>
          <w:sz w:val="24"/>
          <w:szCs w:val="20"/>
        </w:rPr>
      </w:pPr>
      <w:r>
        <w:rPr>
          <w:rFonts w:hint="eastAsia" w:ascii="宋体" w:hAnsi="宋体" w:cs="宋体"/>
          <w:color w:val="auto"/>
          <w:kern w:val="0"/>
          <w:sz w:val="24"/>
          <w:szCs w:val="20"/>
        </w:rPr>
        <w:t>邮编：</w:t>
      </w:r>
    </w:p>
    <w:p>
      <w:pPr>
        <w:autoSpaceDE w:val="0"/>
        <w:autoSpaceDN w:val="0"/>
        <w:adjustRightInd w:val="0"/>
        <w:spacing w:line="360" w:lineRule="auto"/>
        <w:ind w:firstLine="480" w:firstLineChars="200"/>
        <w:rPr>
          <w:rFonts w:ascii="宋体" w:hAnsi="宋体" w:cs="宋体"/>
          <w:color w:val="auto"/>
          <w:kern w:val="0"/>
          <w:sz w:val="24"/>
          <w:szCs w:val="20"/>
        </w:rPr>
      </w:pPr>
    </w:p>
    <w:p>
      <w:pPr>
        <w:spacing w:line="30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根据《中华人民共和国政府采购法》、《中华人民共和国合同法》等法律法规的规定，甲乙双方根据</w:t>
      </w:r>
      <w:r>
        <w:rPr>
          <w:rFonts w:ascii="宋体" w:hAnsi="宋体" w:cs="宋体"/>
          <w:color w:val="auto"/>
          <w:kern w:val="0"/>
          <w:sz w:val="24"/>
          <w:szCs w:val="20"/>
        </w:rPr>
        <w:t>201</w:t>
      </w:r>
      <w:r>
        <w:rPr>
          <w:rFonts w:hint="eastAsia" w:ascii="宋体" w:hAnsi="宋体" w:cs="宋体"/>
          <w:color w:val="auto"/>
          <w:kern w:val="0"/>
          <w:sz w:val="24"/>
          <w:szCs w:val="20"/>
        </w:rPr>
        <w:t>9年</w:t>
      </w:r>
      <w:r>
        <w:rPr>
          <w:rFonts w:ascii="宋体" w:hAnsi="宋体" w:cs="宋体"/>
          <w:color w:val="auto"/>
          <w:kern w:val="0"/>
          <w:sz w:val="24"/>
          <w:szCs w:val="20"/>
        </w:rPr>
        <w:t>____</w:t>
      </w:r>
      <w:r>
        <w:rPr>
          <w:rFonts w:hint="eastAsia" w:ascii="宋体" w:hAnsi="宋体" w:cs="宋体"/>
          <w:color w:val="auto"/>
          <w:kern w:val="0"/>
          <w:sz w:val="24"/>
          <w:szCs w:val="20"/>
        </w:rPr>
        <w:t>月</w:t>
      </w:r>
      <w:bookmarkStart w:id="41" w:name="OLE_LINK2"/>
      <w:r>
        <w:rPr>
          <w:rFonts w:ascii="宋体" w:hAnsi="宋体" w:cs="宋体"/>
          <w:color w:val="auto"/>
          <w:kern w:val="0"/>
          <w:sz w:val="24"/>
          <w:szCs w:val="20"/>
        </w:rPr>
        <w:t>____</w:t>
      </w:r>
      <w:bookmarkEnd w:id="41"/>
      <w:r>
        <w:rPr>
          <w:rFonts w:hint="eastAsia" w:ascii="宋体" w:hAnsi="宋体" w:cs="宋体"/>
          <w:color w:val="auto"/>
          <w:kern w:val="0"/>
          <w:sz w:val="24"/>
          <w:szCs w:val="20"/>
        </w:rPr>
        <w:t>日招标编号 ___________的江苏开放大学开放式课程平台开发运维项目公开招标采购结果及招标文件的要求</w:t>
      </w:r>
      <w:r>
        <w:rPr>
          <w:rFonts w:ascii="宋体" w:hAnsi="宋体" w:cs="宋体"/>
          <w:color w:val="auto"/>
          <w:kern w:val="0"/>
          <w:sz w:val="24"/>
          <w:szCs w:val="20"/>
        </w:rPr>
        <w:t>,</w:t>
      </w:r>
      <w:r>
        <w:rPr>
          <w:rFonts w:hint="eastAsia" w:ascii="宋体" w:hAnsi="宋体" w:cs="宋体"/>
          <w:color w:val="auto"/>
          <w:kern w:val="0"/>
          <w:sz w:val="24"/>
          <w:szCs w:val="20"/>
        </w:rPr>
        <w:t>经协商一致</w:t>
      </w:r>
      <w:r>
        <w:rPr>
          <w:rFonts w:ascii="宋体" w:hAnsi="宋体" w:cs="宋体"/>
          <w:color w:val="auto"/>
          <w:kern w:val="0"/>
          <w:sz w:val="24"/>
          <w:szCs w:val="20"/>
        </w:rPr>
        <w:t>,</w:t>
      </w:r>
      <w:r>
        <w:rPr>
          <w:rFonts w:hint="eastAsia" w:ascii="宋体" w:hAnsi="宋体" w:cs="宋体"/>
          <w:color w:val="auto"/>
          <w:kern w:val="0"/>
          <w:sz w:val="24"/>
          <w:szCs w:val="20"/>
        </w:rPr>
        <w:t>达成如下服务合同。</w:t>
      </w:r>
    </w:p>
    <w:p>
      <w:pPr>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一、合同内容</w:t>
      </w:r>
      <w:r>
        <w:rPr>
          <w:rFonts w:ascii="宋体" w:hAnsi="宋体" w:cs="宋体"/>
          <w:color w:val="auto"/>
          <w:kern w:val="0"/>
          <w:sz w:val="24"/>
          <w:szCs w:val="20"/>
        </w:rPr>
        <w:t xml:space="preserve">                  </w:t>
      </w:r>
    </w:p>
    <w:p>
      <w:pPr>
        <w:spacing w:line="300" w:lineRule="auto"/>
        <w:ind w:firstLine="480" w:firstLineChars="200"/>
        <w:rPr>
          <w:rFonts w:ascii="宋体" w:hAnsi="宋体" w:cs="宋体"/>
          <w:color w:val="auto"/>
          <w:kern w:val="0"/>
          <w:sz w:val="24"/>
          <w:szCs w:val="20"/>
        </w:rPr>
      </w:pPr>
      <w:r>
        <w:rPr>
          <w:rFonts w:ascii="宋体" w:hAnsi="宋体" w:cs="宋体"/>
          <w:color w:val="auto"/>
          <w:kern w:val="0"/>
          <w:sz w:val="24"/>
          <w:szCs w:val="20"/>
        </w:rPr>
        <w:t>1.</w:t>
      </w:r>
      <w:r>
        <w:rPr>
          <w:rFonts w:hint="eastAsia" w:ascii="宋体" w:hAnsi="宋体" w:cs="宋体"/>
          <w:color w:val="auto"/>
          <w:kern w:val="0"/>
          <w:sz w:val="24"/>
          <w:szCs w:val="20"/>
        </w:rPr>
        <w:t>详见招标文件。</w:t>
      </w:r>
    </w:p>
    <w:p>
      <w:pPr>
        <w:spacing w:line="300" w:lineRule="auto"/>
        <w:ind w:firstLine="480" w:firstLineChars="200"/>
        <w:rPr>
          <w:rFonts w:ascii="宋体" w:hAnsi="宋体" w:cs="宋体"/>
          <w:color w:val="auto"/>
          <w:kern w:val="0"/>
          <w:sz w:val="24"/>
          <w:szCs w:val="20"/>
        </w:rPr>
      </w:pPr>
      <w:r>
        <w:rPr>
          <w:rFonts w:ascii="宋体" w:hAnsi="宋体" w:cs="宋体"/>
          <w:color w:val="auto"/>
          <w:kern w:val="0"/>
          <w:sz w:val="24"/>
          <w:szCs w:val="20"/>
        </w:rPr>
        <w:t>2.</w:t>
      </w:r>
      <w:r>
        <w:rPr>
          <w:rFonts w:hint="eastAsia" w:ascii="宋体" w:hAnsi="宋体" w:cs="宋体"/>
          <w:color w:val="auto"/>
          <w:kern w:val="0"/>
          <w:sz w:val="24"/>
          <w:szCs w:val="20"/>
        </w:rPr>
        <w:t>工期：合同签订后30个工作日。</w:t>
      </w:r>
    </w:p>
    <w:p>
      <w:pPr>
        <w:spacing w:line="300" w:lineRule="auto"/>
        <w:ind w:firstLine="720" w:firstLineChars="300"/>
        <w:rPr>
          <w:rFonts w:ascii="宋体" w:hAnsi="宋体" w:cs="宋体"/>
          <w:color w:val="auto"/>
          <w:kern w:val="0"/>
          <w:sz w:val="24"/>
          <w:szCs w:val="20"/>
        </w:rPr>
      </w:pPr>
      <w:r>
        <w:rPr>
          <w:rFonts w:hint="eastAsia" w:ascii="宋体" w:hAnsi="宋体" w:cs="宋体"/>
          <w:color w:val="auto"/>
          <w:kern w:val="0"/>
          <w:sz w:val="24"/>
          <w:szCs w:val="20"/>
        </w:rPr>
        <w:t>质保期：一年，自</w:t>
      </w:r>
      <w:r>
        <w:rPr>
          <w:rFonts w:ascii="宋体" w:hAnsi="宋体" w:cs="宋体"/>
          <w:color w:val="auto"/>
          <w:kern w:val="0"/>
          <w:sz w:val="24"/>
          <w:szCs w:val="20"/>
        </w:rPr>
        <w:t xml:space="preserve"> 201</w:t>
      </w:r>
      <w:r>
        <w:rPr>
          <w:rFonts w:hint="eastAsia" w:ascii="宋体" w:hAnsi="宋体" w:cs="宋体"/>
          <w:color w:val="auto"/>
          <w:kern w:val="0"/>
          <w:sz w:val="24"/>
          <w:szCs w:val="20"/>
        </w:rPr>
        <w:t>9年</w:t>
      </w:r>
      <w:r>
        <w:rPr>
          <w:rFonts w:ascii="宋体" w:hAnsi="宋体" w:cs="宋体"/>
          <w:color w:val="auto"/>
          <w:kern w:val="0"/>
          <w:sz w:val="24"/>
          <w:szCs w:val="20"/>
        </w:rPr>
        <w:t>____</w:t>
      </w:r>
      <w:r>
        <w:rPr>
          <w:rFonts w:hint="eastAsia" w:ascii="宋体" w:hAnsi="宋体" w:cs="宋体"/>
          <w:color w:val="auto"/>
          <w:kern w:val="0"/>
          <w:sz w:val="24"/>
          <w:szCs w:val="20"/>
        </w:rPr>
        <w:t>月</w:t>
      </w:r>
      <w:r>
        <w:rPr>
          <w:rFonts w:ascii="宋体" w:hAnsi="宋体" w:cs="宋体"/>
          <w:color w:val="auto"/>
          <w:kern w:val="0"/>
          <w:sz w:val="24"/>
          <w:szCs w:val="20"/>
        </w:rPr>
        <w:t>____</w:t>
      </w:r>
      <w:r>
        <w:rPr>
          <w:rFonts w:hint="eastAsia" w:ascii="宋体" w:hAnsi="宋体" w:cs="宋体"/>
          <w:color w:val="auto"/>
          <w:kern w:val="0"/>
          <w:sz w:val="24"/>
          <w:szCs w:val="20"/>
        </w:rPr>
        <w:t>日起至</w:t>
      </w:r>
      <w:r>
        <w:rPr>
          <w:rFonts w:ascii="宋体" w:hAnsi="宋体" w:cs="宋体"/>
          <w:color w:val="auto"/>
          <w:kern w:val="0"/>
          <w:sz w:val="24"/>
          <w:szCs w:val="20"/>
        </w:rPr>
        <w:t>_____</w:t>
      </w:r>
      <w:r>
        <w:rPr>
          <w:rFonts w:hint="eastAsia" w:ascii="宋体" w:hAnsi="宋体" w:cs="宋体"/>
          <w:color w:val="auto"/>
          <w:kern w:val="0"/>
          <w:sz w:val="24"/>
          <w:szCs w:val="20"/>
        </w:rPr>
        <w:t>年</w:t>
      </w:r>
      <w:r>
        <w:rPr>
          <w:rFonts w:ascii="宋体" w:hAnsi="宋体" w:cs="宋体"/>
          <w:color w:val="auto"/>
          <w:kern w:val="0"/>
          <w:sz w:val="24"/>
          <w:szCs w:val="20"/>
        </w:rPr>
        <w:t>____</w:t>
      </w:r>
      <w:r>
        <w:rPr>
          <w:rFonts w:hint="eastAsia" w:ascii="宋体" w:hAnsi="宋体" w:cs="宋体"/>
          <w:color w:val="auto"/>
          <w:kern w:val="0"/>
          <w:sz w:val="24"/>
          <w:szCs w:val="20"/>
        </w:rPr>
        <w:t>月</w:t>
      </w:r>
      <w:r>
        <w:rPr>
          <w:rFonts w:ascii="宋体" w:hAnsi="宋体" w:cs="宋体"/>
          <w:color w:val="auto"/>
          <w:kern w:val="0"/>
          <w:sz w:val="24"/>
          <w:szCs w:val="20"/>
        </w:rPr>
        <w:t>____</w:t>
      </w:r>
      <w:r>
        <w:rPr>
          <w:rFonts w:hint="eastAsia" w:ascii="宋体" w:hAnsi="宋体" w:cs="宋体"/>
          <w:color w:val="auto"/>
          <w:kern w:val="0"/>
          <w:sz w:val="24"/>
          <w:szCs w:val="20"/>
        </w:rPr>
        <w:t>日止。</w:t>
      </w:r>
    </w:p>
    <w:p>
      <w:pPr>
        <w:spacing w:line="300" w:lineRule="auto"/>
        <w:ind w:firstLine="480" w:firstLineChars="200"/>
        <w:rPr>
          <w:rFonts w:ascii="宋体" w:hAnsi="宋体" w:cs="宋体"/>
          <w:color w:val="auto"/>
          <w:kern w:val="0"/>
          <w:sz w:val="24"/>
          <w:szCs w:val="20"/>
        </w:rPr>
      </w:pPr>
      <w:r>
        <w:rPr>
          <w:rFonts w:ascii="宋体" w:hAnsi="宋体" w:cs="宋体"/>
          <w:color w:val="auto"/>
          <w:kern w:val="0"/>
          <w:sz w:val="24"/>
          <w:szCs w:val="20"/>
        </w:rPr>
        <w:t>3.</w:t>
      </w:r>
      <w:r>
        <w:rPr>
          <w:rFonts w:hint="eastAsia" w:ascii="宋体" w:hAnsi="宋体" w:cs="宋体"/>
          <w:color w:val="auto"/>
          <w:kern w:val="0"/>
          <w:sz w:val="24"/>
          <w:szCs w:val="20"/>
        </w:rPr>
        <w:t>甲方项目负责人：</w:t>
      </w:r>
      <w:bookmarkStart w:id="42" w:name="OLE_LINK4"/>
      <w:r>
        <w:rPr>
          <w:rFonts w:ascii="宋体" w:hAnsi="宋体" w:cs="宋体"/>
          <w:color w:val="auto"/>
          <w:kern w:val="0"/>
          <w:sz w:val="24"/>
          <w:szCs w:val="20"/>
        </w:rPr>
        <w:t xml:space="preserve">___________________ </w:t>
      </w:r>
      <w:r>
        <w:rPr>
          <w:rFonts w:hint="eastAsia" w:ascii="宋体" w:hAnsi="宋体" w:cs="宋体"/>
          <w:color w:val="auto"/>
          <w:kern w:val="0"/>
          <w:sz w:val="24"/>
          <w:szCs w:val="20"/>
        </w:rPr>
        <w:t>，电话：</w:t>
      </w:r>
      <w:r>
        <w:rPr>
          <w:rFonts w:ascii="宋体" w:hAnsi="宋体" w:cs="宋体"/>
          <w:color w:val="auto"/>
          <w:kern w:val="0"/>
          <w:sz w:val="24"/>
          <w:szCs w:val="20"/>
        </w:rPr>
        <w:t>___________________</w:t>
      </w:r>
      <w:r>
        <w:rPr>
          <w:rFonts w:hint="eastAsia" w:ascii="宋体" w:hAnsi="宋体" w:cs="宋体"/>
          <w:color w:val="auto"/>
          <w:kern w:val="0"/>
          <w:sz w:val="24"/>
          <w:szCs w:val="20"/>
        </w:rPr>
        <w:t>。</w:t>
      </w:r>
      <w:bookmarkEnd w:id="42"/>
    </w:p>
    <w:p>
      <w:pPr>
        <w:spacing w:line="300" w:lineRule="auto"/>
        <w:ind w:firstLine="720" w:firstLineChars="300"/>
        <w:rPr>
          <w:rFonts w:ascii="宋体" w:hAnsi="宋体" w:cs="宋体"/>
          <w:color w:val="auto"/>
          <w:kern w:val="0"/>
          <w:sz w:val="24"/>
          <w:szCs w:val="20"/>
        </w:rPr>
      </w:pPr>
      <w:r>
        <w:rPr>
          <w:rFonts w:hint="eastAsia" w:ascii="宋体" w:hAnsi="宋体" w:cs="宋体"/>
          <w:color w:val="auto"/>
          <w:kern w:val="0"/>
          <w:sz w:val="24"/>
          <w:szCs w:val="20"/>
        </w:rPr>
        <w:t>乙方项目负责人：</w:t>
      </w:r>
      <w:r>
        <w:rPr>
          <w:rFonts w:ascii="宋体" w:hAnsi="宋体" w:cs="宋体"/>
          <w:color w:val="auto"/>
          <w:kern w:val="0"/>
          <w:sz w:val="24"/>
          <w:szCs w:val="20"/>
        </w:rPr>
        <w:t>___________________</w:t>
      </w:r>
      <w:r>
        <w:rPr>
          <w:rFonts w:hint="eastAsia" w:ascii="宋体" w:hAnsi="宋体" w:cs="宋体"/>
          <w:color w:val="auto"/>
          <w:kern w:val="0"/>
          <w:sz w:val="24"/>
          <w:szCs w:val="20"/>
        </w:rPr>
        <w:t xml:space="preserve"> ，电话：</w:t>
      </w:r>
      <w:r>
        <w:rPr>
          <w:rFonts w:ascii="宋体" w:hAnsi="宋体" w:cs="宋体"/>
          <w:color w:val="auto"/>
          <w:kern w:val="0"/>
          <w:sz w:val="24"/>
          <w:szCs w:val="20"/>
        </w:rPr>
        <w:t>___________________</w:t>
      </w:r>
      <w:r>
        <w:rPr>
          <w:rFonts w:hint="eastAsia" w:ascii="宋体" w:hAnsi="宋体" w:cs="宋体"/>
          <w:color w:val="auto"/>
          <w:kern w:val="0"/>
          <w:sz w:val="24"/>
          <w:szCs w:val="20"/>
        </w:rPr>
        <w:t>。</w:t>
      </w:r>
    </w:p>
    <w:p>
      <w:pPr>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二、合同组成</w:t>
      </w:r>
    </w:p>
    <w:p>
      <w:pPr>
        <w:spacing w:line="300" w:lineRule="auto"/>
        <w:ind w:firstLine="480" w:firstLineChars="200"/>
        <w:rPr>
          <w:rFonts w:ascii="宋体" w:hAnsi="宋体" w:cs="宋体"/>
          <w:color w:val="auto"/>
          <w:kern w:val="0"/>
          <w:sz w:val="24"/>
          <w:szCs w:val="20"/>
        </w:rPr>
      </w:pPr>
      <w:r>
        <w:rPr>
          <w:rFonts w:ascii="宋体" w:hAnsi="宋体" w:cs="宋体"/>
          <w:color w:val="auto"/>
          <w:kern w:val="0"/>
          <w:sz w:val="24"/>
          <w:szCs w:val="20"/>
        </w:rPr>
        <w:t>1.</w:t>
      </w:r>
      <w:r>
        <w:rPr>
          <w:rFonts w:hint="eastAsia" w:ascii="宋体" w:hAnsi="宋体" w:cs="宋体"/>
          <w:color w:val="auto"/>
          <w:kern w:val="0"/>
          <w:sz w:val="24"/>
          <w:szCs w:val="20"/>
        </w:rPr>
        <w:t>中标通知书；</w:t>
      </w:r>
    </w:p>
    <w:p>
      <w:pPr>
        <w:spacing w:line="300" w:lineRule="auto"/>
        <w:ind w:firstLine="480" w:firstLineChars="200"/>
        <w:rPr>
          <w:rFonts w:ascii="宋体" w:hAnsi="宋体" w:cs="宋体"/>
          <w:color w:val="auto"/>
          <w:kern w:val="0"/>
          <w:sz w:val="24"/>
          <w:szCs w:val="20"/>
        </w:rPr>
      </w:pPr>
      <w:r>
        <w:rPr>
          <w:rFonts w:ascii="宋体" w:hAnsi="宋体" w:cs="宋体"/>
          <w:color w:val="auto"/>
          <w:kern w:val="0"/>
          <w:sz w:val="24"/>
          <w:szCs w:val="20"/>
        </w:rPr>
        <w:t>2.</w:t>
      </w:r>
      <w:r>
        <w:rPr>
          <w:rFonts w:hint="eastAsia" w:ascii="宋体" w:hAnsi="宋体" w:cs="宋体"/>
          <w:color w:val="auto"/>
          <w:kern w:val="0"/>
          <w:sz w:val="24"/>
          <w:szCs w:val="20"/>
        </w:rPr>
        <w:t>乙方中标的投标书；</w:t>
      </w:r>
    </w:p>
    <w:p>
      <w:pPr>
        <w:spacing w:line="300" w:lineRule="auto"/>
        <w:ind w:firstLine="480" w:firstLineChars="200"/>
        <w:rPr>
          <w:rFonts w:ascii="宋体" w:hAnsi="宋体" w:cs="宋体"/>
          <w:color w:val="auto"/>
          <w:kern w:val="0"/>
          <w:sz w:val="24"/>
          <w:szCs w:val="20"/>
        </w:rPr>
      </w:pPr>
      <w:r>
        <w:rPr>
          <w:rFonts w:ascii="宋体" w:hAnsi="宋体" w:cs="宋体"/>
          <w:color w:val="auto"/>
          <w:kern w:val="0"/>
          <w:sz w:val="24"/>
          <w:szCs w:val="20"/>
        </w:rPr>
        <w:t>3.</w:t>
      </w:r>
      <w:r>
        <w:rPr>
          <w:rFonts w:hint="eastAsia" w:ascii="宋体" w:hAnsi="宋体" w:cs="宋体"/>
          <w:color w:val="auto"/>
          <w:kern w:val="0"/>
          <w:sz w:val="24"/>
          <w:szCs w:val="20"/>
        </w:rPr>
        <w:t>招标文件；</w:t>
      </w:r>
    </w:p>
    <w:p>
      <w:pPr>
        <w:spacing w:line="300" w:lineRule="auto"/>
        <w:ind w:firstLine="480" w:firstLineChars="200"/>
        <w:rPr>
          <w:rFonts w:ascii="宋体" w:hAnsi="宋体" w:cs="宋体"/>
          <w:color w:val="auto"/>
          <w:kern w:val="0"/>
          <w:sz w:val="24"/>
          <w:szCs w:val="20"/>
        </w:rPr>
      </w:pPr>
      <w:r>
        <w:rPr>
          <w:rFonts w:ascii="宋体" w:hAnsi="宋体" w:cs="宋体"/>
          <w:color w:val="auto"/>
          <w:kern w:val="0"/>
          <w:sz w:val="24"/>
          <w:szCs w:val="20"/>
        </w:rPr>
        <w:t>4.</w:t>
      </w:r>
      <w:r>
        <w:rPr>
          <w:rFonts w:hint="eastAsia" w:ascii="宋体" w:hAnsi="宋体" w:cs="宋体"/>
          <w:color w:val="auto"/>
          <w:kern w:val="0"/>
          <w:sz w:val="24"/>
          <w:szCs w:val="20"/>
        </w:rPr>
        <w:t>乙方在招投标过程中所作的其它承诺、声明、书面澄清等。</w:t>
      </w:r>
    </w:p>
    <w:p>
      <w:pPr>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三、合同金额与支付</w:t>
      </w:r>
    </w:p>
    <w:p>
      <w:pPr>
        <w:spacing w:line="30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合同总金额：人民币（大写）        元 （￥：       　）。</w:t>
      </w:r>
    </w:p>
    <w:p>
      <w:pPr>
        <w:autoSpaceDN w:val="0"/>
        <w:spacing w:line="460" w:lineRule="atLeast"/>
        <w:ind w:firstLine="480"/>
        <w:jc w:val="left"/>
        <w:rPr>
          <w:rFonts w:ascii="宋体" w:cs="宋体"/>
          <w:color w:val="auto"/>
          <w:sz w:val="24"/>
        </w:rPr>
      </w:pPr>
      <w:r>
        <w:rPr>
          <w:rFonts w:hint="eastAsia" w:ascii="宋体" w:cs="宋体"/>
          <w:color w:val="auto"/>
          <w:sz w:val="24"/>
        </w:rPr>
        <w:t>支付方式：</w:t>
      </w:r>
    </w:p>
    <w:p>
      <w:pPr>
        <w:pStyle w:val="16"/>
        <w:spacing w:line="360" w:lineRule="auto"/>
        <w:ind w:firstLine="480" w:firstLineChars="200"/>
        <w:rPr>
          <w:rFonts w:hAnsi="宋体" w:cs="宋体"/>
          <w:color w:val="auto"/>
          <w:sz w:val="24"/>
          <w:szCs w:val="24"/>
        </w:rPr>
      </w:pPr>
      <w:r>
        <w:rPr>
          <w:rFonts w:hint="eastAsia" w:hAnsi="宋体" w:cs="宋体"/>
          <w:color w:val="auto"/>
          <w:sz w:val="24"/>
          <w:szCs w:val="24"/>
        </w:rPr>
        <w:t>第一次付款：在合同签订之日起30个工作日内，甲方向乙方支付合同总金额50%的款项即</w:t>
      </w:r>
      <w:r>
        <w:rPr>
          <w:rFonts w:hAnsi="宋体" w:cs="宋体"/>
          <w:color w:val="auto"/>
          <w:sz w:val="24"/>
        </w:rPr>
        <w:t>[</w:t>
      </w:r>
      <w:r>
        <w:rPr>
          <w:rFonts w:hint="eastAsia" w:hAnsi="宋体" w:cs="宋体"/>
          <w:color w:val="auto"/>
          <w:sz w:val="24"/>
          <w:u w:val="single"/>
        </w:rPr>
        <w:t>￥     元</w:t>
      </w:r>
      <w:r>
        <w:rPr>
          <w:rFonts w:hint="eastAsia" w:hAnsi="宋体" w:cs="宋体"/>
          <w:color w:val="auto"/>
          <w:sz w:val="24"/>
        </w:rPr>
        <w:t>（大写：人民币</w:t>
      </w:r>
      <w:r>
        <w:rPr>
          <w:rFonts w:hint="eastAsia" w:hAnsi="宋体" w:cs="宋体"/>
          <w:color w:val="auto"/>
          <w:sz w:val="24"/>
          <w:u w:val="single"/>
        </w:rPr>
        <w:t xml:space="preserve">     </w:t>
      </w:r>
      <w:r>
        <w:rPr>
          <w:rFonts w:hint="eastAsia" w:hAnsi="宋体" w:cs="宋体"/>
          <w:color w:val="auto"/>
          <w:sz w:val="24"/>
        </w:rPr>
        <w:t>万元整）</w:t>
      </w:r>
      <w:r>
        <w:rPr>
          <w:rFonts w:hAnsi="宋体" w:cs="宋体"/>
          <w:color w:val="auto"/>
          <w:sz w:val="24"/>
        </w:rPr>
        <w:t>]</w:t>
      </w:r>
      <w:r>
        <w:rPr>
          <w:rFonts w:hint="eastAsia" w:hAnsi="宋体" w:cs="宋体"/>
          <w:color w:val="auto"/>
          <w:sz w:val="24"/>
          <w:szCs w:val="24"/>
        </w:rPr>
        <w:t>；</w:t>
      </w:r>
    </w:p>
    <w:p>
      <w:pPr>
        <w:pStyle w:val="16"/>
        <w:spacing w:line="360" w:lineRule="auto"/>
        <w:ind w:firstLine="480" w:firstLineChars="200"/>
        <w:rPr>
          <w:rFonts w:hAnsi="宋体" w:cs="宋体"/>
          <w:color w:val="auto"/>
          <w:sz w:val="24"/>
          <w:szCs w:val="24"/>
        </w:rPr>
      </w:pPr>
      <w:r>
        <w:rPr>
          <w:rFonts w:hint="eastAsia" w:hAnsi="宋体" w:cs="宋体"/>
          <w:color w:val="auto"/>
          <w:sz w:val="24"/>
          <w:szCs w:val="24"/>
        </w:rPr>
        <w:t>第二次付款：在系统完成最终检测并且通过由招标方组织的验收后，甲方向乙方支付合同总金额45%的款项，即</w:t>
      </w:r>
      <w:r>
        <w:rPr>
          <w:rFonts w:hAnsi="宋体" w:cs="宋体"/>
          <w:color w:val="auto"/>
          <w:sz w:val="24"/>
        </w:rPr>
        <w:t>[</w:t>
      </w:r>
      <w:r>
        <w:rPr>
          <w:rFonts w:hint="eastAsia" w:hAnsi="宋体" w:cs="宋体"/>
          <w:color w:val="auto"/>
          <w:sz w:val="24"/>
          <w:u w:val="single"/>
        </w:rPr>
        <w:t>￥     元</w:t>
      </w:r>
      <w:r>
        <w:rPr>
          <w:rFonts w:hint="eastAsia" w:hAnsi="宋体" w:cs="宋体"/>
          <w:color w:val="auto"/>
          <w:sz w:val="24"/>
        </w:rPr>
        <w:t>（大写：人民币</w:t>
      </w:r>
      <w:r>
        <w:rPr>
          <w:rFonts w:hint="eastAsia" w:hAnsi="宋体" w:cs="宋体"/>
          <w:color w:val="auto"/>
          <w:sz w:val="24"/>
          <w:u w:val="single"/>
        </w:rPr>
        <w:t xml:space="preserve">     </w:t>
      </w:r>
      <w:r>
        <w:rPr>
          <w:rFonts w:hint="eastAsia" w:hAnsi="宋体" w:cs="宋体"/>
          <w:color w:val="auto"/>
          <w:sz w:val="24"/>
        </w:rPr>
        <w:t>万元整）</w:t>
      </w:r>
      <w:r>
        <w:rPr>
          <w:rFonts w:hAnsi="宋体" w:cs="宋体"/>
          <w:color w:val="auto"/>
          <w:sz w:val="24"/>
        </w:rPr>
        <w:t>]</w:t>
      </w:r>
      <w:r>
        <w:rPr>
          <w:rFonts w:hint="eastAsia" w:hAnsi="宋体" w:cs="宋体"/>
          <w:color w:val="auto"/>
          <w:sz w:val="24"/>
          <w:szCs w:val="24"/>
        </w:rPr>
        <w:t>。</w:t>
      </w:r>
    </w:p>
    <w:p>
      <w:pPr>
        <w:pStyle w:val="16"/>
        <w:spacing w:line="360" w:lineRule="auto"/>
        <w:ind w:firstLine="480" w:firstLineChars="200"/>
        <w:rPr>
          <w:rFonts w:ascii="Times New Roman" w:hAnsi="Times New Roman"/>
          <w:color w:val="auto"/>
          <w:szCs w:val="21"/>
        </w:rPr>
      </w:pPr>
      <w:r>
        <w:rPr>
          <w:rFonts w:hint="eastAsia" w:hAnsi="宋体" w:cs="宋体"/>
          <w:color w:val="auto"/>
          <w:sz w:val="24"/>
          <w:szCs w:val="24"/>
        </w:rPr>
        <w:t xml:space="preserve"> 第三次付款：在系统完成最终验收后，免费维护满一年后30个工作日内，招标方向乙方支付合同总金额5%的款项。</w:t>
      </w:r>
    </w:p>
    <w:p>
      <w:pPr>
        <w:pStyle w:val="16"/>
        <w:spacing w:line="360" w:lineRule="auto"/>
        <w:ind w:firstLine="480" w:firstLineChars="200"/>
        <w:rPr>
          <w:rFonts w:hAnsi="宋体" w:cs="宋体"/>
          <w:color w:val="auto"/>
          <w:sz w:val="24"/>
          <w:szCs w:val="24"/>
        </w:rPr>
      </w:pPr>
    </w:p>
    <w:p>
      <w:pPr>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四、乙方服务要求</w:t>
      </w:r>
      <w:r>
        <w:rPr>
          <w:rFonts w:ascii="宋体" w:hAnsi="宋体" w:cs="宋体"/>
          <w:color w:val="auto"/>
          <w:kern w:val="0"/>
          <w:sz w:val="24"/>
          <w:szCs w:val="20"/>
        </w:rPr>
        <w:t xml:space="preserve">  </w:t>
      </w:r>
    </w:p>
    <w:p>
      <w:pPr>
        <w:spacing w:line="360" w:lineRule="auto"/>
        <w:ind w:left="420"/>
        <w:jc w:val="left"/>
        <w:rPr>
          <w:rFonts w:ascii="宋体" w:hAnsi="宋体" w:cs="宋体"/>
          <w:color w:val="auto"/>
          <w:kern w:val="0"/>
          <w:sz w:val="24"/>
          <w:szCs w:val="20"/>
        </w:rPr>
      </w:pPr>
      <w:r>
        <w:rPr>
          <w:rFonts w:ascii="宋体" w:hAnsi="宋体" w:cs="宋体"/>
          <w:color w:val="auto"/>
          <w:kern w:val="0"/>
          <w:sz w:val="24"/>
          <w:szCs w:val="20"/>
        </w:rPr>
        <w:t>1.</w:t>
      </w:r>
      <w:r>
        <w:rPr>
          <w:rFonts w:hint="eastAsia" w:ascii="宋体" w:hAnsi="宋体" w:cs="宋体"/>
          <w:color w:val="auto"/>
          <w:kern w:val="0"/>
          <w:sz w:val="24"/>
          <w:szCs w:val="20"/>
        </w:rPr>
        <w:t>投标人中标后需根据甲方要求提供相应服务，具体见招标文件。</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2</w:t>
      </w:r>
      <w:r>
        <w:rPr>
          <w:rFonts w:ascii="宋体" w:hAnsi="宋体" w:cs="宋体"/>
          <w:color w:val="auto"/>
          <w:kern w:val="0"/>
          <w:sz w:val="24"/>
          <w:szCs w:val="20"/>
        </w:rPr>
        <w:t>.</w:t>
      </w:r>
      <w:r>
        <w:rPr>
          <w:rFonts w:hint="eastAsia" w:ascii="宋体" w:hAnsi="宋体" w:cs="宋体"/>
          <w:color w:val="auto"/>
          <w:kern w:val="0"/>
          <w:sz w:val="24"/>
          <w:szCs w:val="20"/>
        </w:rPr>
        <w:t>未经甲方书面同意，乙方不得将本合同项目部分或全部服务工作转让第三人承担。</w:t>
      </w:r>
    </w:p>
    <w:p>
      <w:pPr>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五、项目验收</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双方确定以下列标准和方式对乙方的技术服务工作成果进行验收：</w:t>
      </w:r>
    </w:p>
    <w:p>
      <w:pPr>
        <w:spacing w:line="360" w:lineRule="auto"/>
        <w:ind w:firstLine="420"/>
        <w:jc w:val="left"/>
        <w:rPr>
          <w:rFonts w:ascii="宋体" w:hAnsi="宋体" w:cs="宋体"/>
          <w:color w:val="auto"/>
          <w:kern w:val="0"/>
          <w:sz w:val="24"/>
          <w:szCs w:val="20"/>
        </w:rPr>
      </w:pPr>
      <w:r>
        <w:rPr>
          <w:rFonts w:ascii="宋体" w:hAnsi="宋体" w:cs="宋体"/>
          <w:color w:val="auto"/>
          <w:kern w:val="0"/>
          <w:sz w:val="24"/>
          <w:szCs w:val="20"/>
        </w:rPr>
        <w:t>1.</w:t>
      </w:r>
      <w:r>
        <w:rPr>
          <w:rFonts w:hint="eastAsia" w:ascii="宋体" w:hAnsi="宋体" w:cs="宋体"/>
          <w:color w:val="auto"/>
          <w:kern w:val="0"/>
          <w:sz w:val="24"/>
          <w:szCs w:val="20"/>
        </w:rPr>
        <w:t>乙方完成技术服务工作的形式：服务期满提交详细评估测评报告并协助甲方完成整改。</w:t>
      </w:r>
    </w:p>
    <w:p>
      <w:pPr>
        <w:spacing w:line="360" w:lineRule="auto"/>
        <w:ind w:firstLine="420"/>
        <w:jc w:val="left"/>
        <w:rPr>
          <w:rFonts w:ascii="宋体" w:hAnsi="宋体" w:cs="宋体"/>
          <w:color w:val="auto"/>
          <w:kern w:val="0"/>
          <w:sz w:val="24"/>
          <w:szCs w:val="20"/>
        </w:rPr>
      </w:pPr>
      <w:r>
        <w:rPr>
          <w:rFonts w:ascii="宋体" w:hAnsi="宋体" w:cs="宋体"/>
          <w:color w:val="auto"/>
          <w:kern w:val="0"/>
          <w:sz w:val="24"/>
          <w:szCs w:val="20"/>
        </w:rPr>
        <w:t>2.</w:t>
      </w:r>
      <w:r>
        <w:rPr>
          <w:rFonts w:hint="eastAsia" w:ascii="宋体" w:hAnsi="宋体" w:cs="宋体"/>
          <w:color w:val="auto"/>
          <w:kern w:val="0"/>
          <w:sz w:val="24"/>
          <w:szCs w:val="20"/>
        </w:rPr>
        <w:t>验收的时间和地点：服务期满时在南京验收。</w:t>
      </w:r>
    </w:p>
    <w:p>
      <w:pPr>
        <w:spacing w:line="360" w:lineRule="auto"/>
        <w:ind w:firstLine="480" w:firstLineChars="200"/>
        <w:rPr>
          <w:rFonts w:ascii="宋体" w:hAnsi="宋体" w:cs="宋体"/>
          <w:color w:val="auto"/>
          <w:kern w:val="0"/>
          <w:sz w:val="24"/>
          <w:szCs w:val="20"/>
        </w:rPr>
      </w:pPr>
      <w:r>
        <w:rPr>
          <w:rFonts w:hint="eastAsia" w:ascii="宋体" w:hAnsi="宋体" w:cs="宋体"/>
          <w:color w:val="auto"/>
          <w:kern w:val="0"/>
          <w:sz w:val="24"/>
          <w:szCs w:val="20"/>
        </w:rPr>
        <w:t>六、不可抗力</w:t>
      </w:r>
    </w:p>
    <w:p>
      <w:pPr>
        <w:spacing w:line="360" w:lineRule="auto"/>
        <w:ind w:firstLine="420"/>
        <w:jc w:val="left"/>
        <w:rPr>
          <w:rFonts w:ascii="宋体" w:hAnsi="宋体" w:cs="宋体"/>
          <w:color w:val="auto"/>
          <w:kern w:val="0"/>
          <w:sz w:val="24"/>
          <w:szCs w:val="20"/>
        </w:rPr>
      </w:pPr>
      <w:r>
        <w:rPr>
          <w:rFonts w:ascii="宋体" w:hAnsi="宋体" w:cs="宋体"/>
          <w:color w:val="auto"/>
          <w:kern w:val="0"/>
          <w:sz w:val="24"/>
          <w:szCs w:val="20"/>
        </w:rPr>
        <w:t>1.</w:t>
      </w:r>
      <w:r>
        <w:rPr>
          <w:rFonts w:hint="eastAsia" w:ascii="宋体" w:hAnsi="宋体" w:cs="宋体"/>
          <w:color w:val="auto"/>
          <w:kern w:val="0"/>
          <w:sz w:val="24"/>
          <w:szCs w:val="20"/>
        </w:rPr>
        <w:t>因不可抗力不能履行合同的，根据不可抗力的影响，部分或者全部免除责任。但合同一方迟延履行后发生严重后果的，不能免除责任。</w:t>
      </w:r>
    </w:p>
    <w:p>
      <w:pPr>
        <w:spacing w:line="360" w:lineRule="auto"/>
        <w:ind w:firstLine="420"/>
        <w:jc w:val="left"/>
        <w:rPr>
          <w:rFonts w:ascii="宋体" w:hAnsi="宋体" w:cs="宋体"/>
          <w:color w:val="auto"/>
          <w:kern w:val="0"/>
          <w:sz w:val="24"/>
          <w:szCs w:val="20"/>
        </w:rPr>
      </w:pPr>
      <w:r>
        <w:rPr>
          <w:rFonts w:ascii="宋体" w:hAnsi="宋体" w:cs="宋体"/>
          <w:color w:val="auto"/>
          <w:kern w:val="0"/>
          <w:sz w:val="24"/>
          <w:szCs w:val="20"/>
        </w:rPr>
        <w:t>2.</w:t>
      </w:r>
      <w:r>
        <w:rPr>
          <w:rFonts w:hint="eastAsia" w:ascii="宋体" w:hAnsi="宋体" w:cs="宋体"/>
          <w:color w:val="auto"/>
          <w:kern w:val="0"/>
          <w:sz w:val="24"/>
          <w:szCs w:val="20"/>
        </w:rPr>
        <w:t>合同一方因不可抗力不能履行合同的，应当及时通知对方，以减轻可能给对方造成的损失，并应当在合理期限内提供证明。</w:t>
      </w:r>
    </w:p>
    <w:p>
      <w:pPr>
        <w:widowControl/>
        <w:spacing w:line="360" w:lineRule="auto"/>
        <w:ind w:firstLine="470" w:firstLineChars="196"/>
        <w:rPr>
          <w:rFonts w:ascii="宋体" w:hAnsi="宋体" w:cs="宋体"/>
          <w:color w:val="auto"/>
          <w:kern w:val="0"/>
          <w:sz w:val="24"/>
          <w:szCs w:val="20"/>
        </w:rPr>
      </w:pPr>
      <w:r>
        <w:rPr>
          <w:rFonts w:hint="eastAsia" w:ascii="宋体" w:hAnsi="宋体" w:cs="宋体"/>
          <w:color w:val="auto"/>
          <w:kern w:val="0"/>
          <w:sz w:val="24"/>
          <w:szCs w:val="20"/>
        </w:rPr>
        <w:t>七、保密条款</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乙方不得将在履行本合同中知悉的甲方任何信息随意泄露、擅自使用。如违反本条款规定，乙方应当承担如下责任：</w:t>
      </w:r>
      <w:r>
        <w:rPr>
          <w:rFonts w:ascii="宋体" w:hAnsi="宋体" w:cs="宋体"/>
          <w:color w:val="auto"/>
          <w:kern w:val="0"/>
          <w:sz w:val="24"/>
          <w:szCs w:val="20"/>
        </w:rPr>
        <w:t>__________________________</w:t>
      </w:r>
    </w:p>
    <w:p>
      <w:pPr>
        <w:widowControl/>
        <w:spacing w:after="120"/>
        <w:ind w:firstLine="480"/>
        <w:rPr>
          <w:rFonts w:ascii="宋体" w:hAnsi="宋体" w:cs="宋体"/>
          <w:color w:val="auto"/>
          <w:kern w:val="0"/>
          <w:sz w:val="24"/>
          <w:szCs w:val="20"/>
        </w:rPr>
      </w:pPr>
      <w:r>
        <w:rPr>
          <w:rFonts w:hint="eastAsia" w:ascii="宋体" w:hAnsi="宋体" w:cs="宋体"/>
          <w:color w:val="auto"/>
          <w:kern w:val="0"/>
          <w:sz w:val="24"/>
          <w:szCs w:val="20"/>
        </w:rPr>
        <w:t>八、违约责任</w:t>
      </w:r>
    </w:p>
    <w:p>
      <w:pPr>
        <w:spacing w:line="360" w:lineRule="auto"/>
        <w:ind w:firstLine="420"/>
        <w:jc w:val="left"/>
        <w:rPr>
          <w:rFonts w:ascii="宋体" w:hAnsi="宋体" w:cs="宋体"/>
          <w:color w:val="auto"/>
          <w:kern w:val="0"/>
          <w:sz w:val="24"/>
          <w:szCs w:val="20"/>
        </w:rPr>
      </w:pPr>
      <w:r>
        <w:rPr>
          <w:rFonts w:ascii="宋体" w:hAnsi="宋体" w:cs="宋体"/>
          <w:color w:val="auto"/>
          <w:kern w:val="0"/>
          <w:sz w:val="24"/>
          <w:szCs w:val="20"/>
        </w:rPr>
        <w:t>1</w:t>
      </w:r>
      <w:r>
        <w:rPr>
          <w:rFonts w:hint="eastAsia" w:ascii="宋体" w:hAnsi="宋体" w:cs="宋体"/>
          <w:color w:val="auto"/>
          <w:kern w:val="0"/>
          <w:sz w:val="24"/>
          <w:szCs w:val="20"/>
        </w:rPr>
        <w:t>、乙方如未能在本合同约定期限内完成服务项目的，则应按合同总价款每日万分之五的标准向甲方支付违约金。乙方支付逾期违约金后，不免除继续完成项目及修补缺陷的义务。逾期超过30天的，甲方有权解除本合同。</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2、 服务质量必须达到合同约定的质量标准以及投标书承诺的质量标准，如违反本条约定的质量标准，乙方必须无偿返修并按合同总价的10%向甲方支付违约金。此赔偿并不能解除乙方完成服务内容的责任及合同约定的其他责任。</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3、若乙方擅自停工或单方面终止合同的执行或发生其他违约行为，造成合同无法履行，甲方有权按乙方已完成合格工程量的70%给予结算，乙方须承担由此而给甲方造成的一切损失。</w:t>
      </w:r>
    </w:p>
    <w:p>
      <w:pPr>
        <w:widowControl/>
        <w:spacing w:line="360" w:lineRule="auto"/>
        <w:ind w:firstLine="352" w:firstLineChars="147"/>
        <w:rPr>
          <w:rFonts w:ascii="宋体" w:hAnsi="宋体" w:cs="宋体"/>
          <w:color w:val="auto"/>
          <w:kern w:val="0"/>
          <w:sz w:val="24"/>
          <w:szCs w:val="20"/>
        </w:rPr>
      </w:pPr>
      <w:r>
        <w:rPr>
          <w:rFonts w:hint="eastAsia" w:ascii="宋体" w:hAnsi="宋体" w:cs="宋体"/>
          <w:color w:val="auto"/>
          <w:kern w:val="0"/>
          <w:sz w:val="24"/>
          <w:szCs w:val="20"/>
        </w:rPr>
        <w:t>九、合同纠纷处理</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1、本合同执行过程中发生纠纷，由甲乙双方协商处理，若协商不成，双方一致同意由采购人所在地法院管辖。</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2、因乙方违约致使甲方采取诉讼方式解决纠纷的，乙方应承担甲方为维护权益而发生的包括但不限于诉讼费、通讯费、律师费、调查费等。</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3、 双方确认，本协议文首所列明的双方地址即为相关法律文书（包括但不限于往来函、通知、传票、判决、裁定等文书）的唯一送达地址。若该信息有变更，应当三日内以书面形式告知对方，若无变更或者变更未书面通知对方的，双方依据该地址送达的文件均视为有效送达。</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4、在争议的处理过程中，除争议部分外，合同的其他部分将继续执行。</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十、合同生效</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本合同由甲乙双方签字盖章之日起生效。</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十一、组成本合同的文件</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1. 本合同、中标通知书、招标文件和乙方的投标文件以及甲乙双方商定的其他必要文件。</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2. 上述合同文件内容互为补充，如有不明确，以甲方解释为准。</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十二、其他规定</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1．本合同一式陆份，甲方执肆份，乙方执贰份。</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2．本合同附件为本合同的组成部分，与本合同具有同等法律效力。</w:t>
      </w:r>
    </w:p>
    <w:p>
      <w:pPr>
        <w:spacing w:line="360" w:lineRule="auto"/>
        <w:jc w:val="left"/>
        <w:rPr>
          <w:rFonts w:ascii="宋体" w:hAnsi="宋体" w:cs="宋体"/>
          <w:color w:val="auto"/>
          <w:kern w:val="0"/>
          <w:sz w:val="24"/>
          <w:szCs w:val="20"/>
        </w:rPr>
      </w:pP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甲方：</w:t>
      </w:r>
      <w:bookmarkStart w:id="43" w:name="purchase_one_start"/>
      <w:bookmarkEnd w:id="43"/>
      <w:r>
        <w:rPr>
          <w:rFonts w:hint="eastAsia" w:ascii="宋体" w:hAnsi="宋体" w:cs="宋体"/>
          <w:color w:val="auto"/>
          <w:kern w:val="0"/>
          <w:sz w:val="24"/>
          <w:szCs w:val="20"/>
        </w:rPr>
        <w:t>江苏开放大学</w:t>
      </w:r>
      <w:r>
        <w:rPr>
          <w:rFonts w:ascii="宋体" w:hAnsi="宋体" w:cs="宋体"/>
          <w:color w:val="auto"/>
          <w:kern w:val="0"/>
          <w:sz w:val="24"/>
          <w:szCs w:val="20"/>
        </w:rPr>
        <w:t xml:space="preserve"> </w:t>
      </w:r>
      <w:bookmarkStart w:id="44" w:name="purchase_one_end"/>
      <w:bookmarkEnd w:id="44"/>
      <w:r>
        <w:rPr>
          <w:rFonts w:ascii="宋体" w:hAnsi="宋体" w:cs="宋体"/>
          <w:color w:val="auto"/>
          <w:kern w:val="0"/>
          <w:sz w:val="24"/>
          <w:szCs w:val="20"/>
        </w:rPr>
        <w:t xml:space="preserve"> </w:t>
      </w:r>
      <w:r>
        <w:rPr>
          <w:rFonts w:hint="eastAsia" w:ascii="宋体" w:hAnsi="宋体" w:cs="宋体"/>
          <w:color w:val="auto"/>
          <w:kern w:val="0"/>
          <w:sz w:val="24"/>
          <w:szCs w:val="20"/>
        </w:rPr>
        <w:t>（盖章）</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地址：</w:t>
      </w:r>
      <w:r>
        <w:rPr>
          <w:rFonts w:ascii="宋体" w:hAnsi="宋体" w:cs="宋体"/>
          <w:color w:val="auto"/>
          <w:kern w:val="0"/>
          <w:sz w:val="24"/>
          <w:szCs w:val="20"/>
        </w:rPr>
        <w:t xml:space="preserve">                              </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法定（授权）代表人：</w:t>
      </w:r>
      <w:r>
        <w:rPr>
          <w:rFonts w:ascii="宋体" w:hAnsi="宋体" w:cs="宋体"/>
          <w:color w:val="auto"/>
          <w:kern w:val="0"/>
          <w:sz w:val="24"/>
          <w:szCs w:val="20"/>
        </w:rPr>
        <w:t xml:space="preserve">                   </w:t>
      </w:r>
    </w:p>
    <w:p>
      <w:pPr>
        <w:spacing w:line="360" w:lineRule="auto"/>
        <w:ind w:firstLine="420"/>
        <w:jc w:val="left"/>
        <w:rPr>
          <w:rFonts w:ascii="宋体" w:hAnsi="宋体" w:cs="宋体"/>
          <w:color w:val="auto"/>
          <w:kern w:val="0"/>
          <w:sz w:val="24"/>
          <w:szCs w:val="20"/>
        </w:rPr>
      </w:pPr>
      <w:r>
        <w:rPr>
          <w:rFonts w:ascii="宋体" w:hAnsi="宋体" w:cs="宋体"/>
          <w:color w:val="auto"/>
          <w:kern w:val="0"/>
          <w:sz w:val="24"/>
          <w:szCs w:val="20"/>
        </w:rPr>
        <w:t>201</w:t>
      </w:r>
      <w:r>
        <w:rPr>
          <w:rFonts w:hint="eastAsia" w:ascii="宋体" w:hAnsi="宋体" w:cs="宋体"/>
          <w:color w:val="auto"/>
          <w:kern w:val="0"/>
          <w:sz w:val="24"/>
          <w:szCs w:val="20"/>
        </w:rPr>
        <w:t>9年</w:t>
      </w:r>
      <w:r>
        <w:rPr>
          <w:rFonts w:ascii="宋体" w:hAnsi="宋体" w:cs="宋体"/>
          <w:color w:val="auto"/>
          <w:kern w:val="0"/>
          <w:sz w:val="24"/>
          <w:szCs w:val="20"/>
        </w:rPr>
        <w:t xml:space="preserve">  </w:t>
      </w:r>
      <w:r>
        <w:rPr>
          <w:rFonts w:hint="eastAsia" w:ascii="宋体" w:hAnsi="宋体" w:cs="宋体"/>
          <w:color w:val="auto"/>
          <w:kern w:val="0"/>
          <w:sz w:val="24"/>
          <w:szCs w:val="20"/>
        </w:rPr>
        <w:t>月</w:t>
      </w:r>
      <w:r>
        <w:rPr>
          <w:rFonts w:ascii="宋体" w:hAnsi="宋体" w:cs="宋体"/>
          <w:color w:val="auto"/>
          <w:kern w:val="0"/>
          <w:sz w:val="24"/>
          <w:szCs w:val="20"/>
        </w:rPr>
        <w:t xml:space="preserve">  </w:t>
      </w:r>
      <w:r>
        <w:rPr>
          <w:rFonts w:hint="eastAsia" w:ascii="宋体" w:hAnsi="宋体" w:cs="宋体"/>
          <w:color w:val="auto"/>
          <w:kern w:val="0"/>
          <w:sz w:val="24"/>
          <w:szCs w:val="20"/>
        </w:rPr>
        <w:t>日</w:t>
      </w:r>
      <w:r>
        <w:rPr>
          <w:rFonts w:ascii="宋体" w:hAnsi="宋体" w:cs="宋体"/>
          <w:color w:val="auto"/>
          <w:kern w:val="0"/>
          <w:sz w:val="24"/>
          <w:szCs w:val="20"/>
        </w:rPr>
        <w:t xml:space="preserve"> </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乙方：</w:t>
      </w:r>
      <w:bookmarkStart w:id="45" w:name="suppliers_name_one"/>
      <w:bookmarkEnd w:id="45"/>
      <w:r>
        <w:rPr>
          <w:rFonts w:ascii="宋体" w:hAnsi="宋体" w:cs="宋体"/>
          <w:color w:val="auto"/>
          <w:kern w:val="0"/>
          <w:sz w:val="24"/>
          <w:szCs w:val="20"/>
        </w:rPr>
        <w:t xml:space="preserve">                       </w:t>
      </w:r>
      <w:r>
        <w:rPr>
          <w:rFonts w:hint="eastAsia" w:ascii="宋体" w:hAnsi="宋体" w:cs="宋体"/>
          <w:color w:val="auto"/>
          <w:kern w:val="0"/>
          <w:sz w:val="24"/>
          <w:szCs w:val="20"/>
        </w:rPr>
        <w:t>（盖章）</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地址：</w:t>
      </w:r>
      <w:r>
        <w:rPr>
          <w:rFonts w:ascii="宋体" w:hAnsi="宋体" w:cs="宋体"/>
          <w:color w:val="auto"/>
          <w:kern w:val="0"/>
          <w:sz w:val="24"/>
          <w:szCs w:val="20"/>
        </w:rPr>
        <w:t xml:space="preserve">                                 </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法定（授权）代表人：</w:t>
      </w:r>
      <w:r>
        <w:rPr>
          <w:rFonts w:ascii="宋体" w:hAnsi="宋体" w:cs="宋体"/>
          <w:color w:val="auto"/>
          <w:kern w:val="0"/>
          <w:sz w:val="24"/>
          <w:szCs w:val="20"/>
        </w:rPr>
        <w:t xml:space="preserve">                   </w:t>
      </w:r>
    </w:p>
    <w:p>
      <w:pPr>
        <w:spacing w:line="360" w:lineRule="auto"/>
        <w:ind w:firstLine="420"/>
        <w:jc w:val="left"/>
        <w:rPr>
          <w:rFonts w:ascii="宋体" w:hAnsi="宋体" w:cs="宋体"/>
          <w:color w:val="auto"/>
          <w:kern w:val="0"/>
          <w:sz w:val="24"/>
          <w:szCs w:val="20"/>
        </w:rPr>
      </w:pPr>
      <w:r>
        <w:rPr>
          <w:rFonts w:ascii="宋体" w:hAnsi="宋体" w:cs="宋体"/>
          <w:color w:val="auto"/>
          <w:kern w:val="0"/>
          <w:sz w:val="24"/>
          <w:szCs w:val="20"/>
        </w:rPr>
        <w:t>201</w:t>
      </w:r>
      <w:r>
        <w:rPr>
          <w:rFonts w:hint="eastAsia" w:ascii="宋体" w:hAnsi="宋体" w:cs="宋体"/>
          <w:color w:val="auto"/>
          <w:kern w:val="0"/>
          <w:sz w:val="24"/>
          <w:szCs w:val="20"/>
        </w:rPr>
        <w:t>9年</w:t>
      </w:r>
      <w:r>
        <w:rPr>
          <w:rFonts w:ascii="宋体" w:hAnsi="宋体" w:cs="宋体"/>
          <w:color w:val="auto"/>
          <w:kern w:val="0"/>
          <w:sz w:val="24"/>
          <w:szCs w:val="20"/>
        </w:rPr>
        <w:t xml:space="preserve">  </w:t>
      </w:r>
      <w:r>
        <w:rPr>
          <w:rFonts w:hint="eastAsia" w:ascii="宋体" w:hAnsi="宋体" w:cs="宋体"/>
          <w:color w:val="auto"/>
          <w:kern w:val="0"/>
          <w:sz w:val="24"/>
          <w:szCs w:val="20"/>
        </w:rPr>
        <w:t>月</w:t>
      </w:r>
      <w:r>
        <w:rPr>
          <w:rFonts w:ascii="宋体" w:hAnsi="宋体" w:cs="宋体"/>
          <w:color w:val="auto"/>
          <w:kern w:val="0"/>
          <w:sz w:val="24"/>
          <w:szCs w:val="20"/>
        </w:rPr>
        <w:t xml:space="preserve">  </w:t>
      </w:r>
      <w:r>
        <w:rPr>
          <w:rFonts w:hint="eastAsia" w:ascii="宋体" w:hAnsi="宋体" w:cs="宋体"/>
          <w:color w:val="auto"/>
          <w:kern w:val="0"/>
          <w:sz w:val="24"/>
          <w:szCs w:val="20"/>
        </w:rPr>
        <w:t>日</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户名：</w:t>
      </w:r>
      <w:r>
        <w:rPr>
          <w:rFonts w:ascii="宋体" w:hAnsi="宋体" w:cs="宋体"/>
          <w:color w:val="auto"/>
          <w:kern w:val="0"/>
          <w:sz w:val="24"/>
          <w:szCs w:val="20"/>
        </w:rPr>
        <w:t xml:space="preserve">                                 </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开户银行：</w:t>
      </w:r>
      <w:r>
        <w:rPr>
          <w:rFonts w:ascii="宋体" w:hAnsi="宋体" w:cs="宋体"/>
          <w:color w:val="auto"/>
          <w:kern w:val="0"/>
          <w:sz w:val="24"/>
          <w:szCs w:val="20"/>
        </w:rPr>
        <w:t xml:space="preserve">                             </w:t>
      </w:r>
    </w:p>
    <w:p>
      <w:pPr>
        <w:spacing w:line="360" w:lineRule="auto"/>
        <w:ind w:firstLine="420"/>
        <w:jc w:val="left"/>
        <w:rPr>
          <w:rFonts w:ascii="宋体" w:hAnsi="宋体" w:cs="宋体"/>
          <w:color w:val="auto"/>
          <w:kern w:val="0"/>
          <w:sz w:val="24"/>
          <w:szCs w:val="20"/>
        </w:rPr>
      </w:pPr>
      <w:r>
        <w:rPr>
          <w:rFonts w:hint="eastAsia" w:ascii="宋体" w:hAnsi="宋体" w:cs="宋体"/>
          <w:color w:val="auto"/>
          <w:kern w:val="0"/>
          <w:sz w:val="24"/>
          <w:szCs w:val="20"/>
        </w:rPr>
        <w:t>账号：</w:t>
      </w:r>
      <w:r>
        <w:rPr>
          <w:rFonts w:ascii="宋体" w:hAnsi="宋体" w:cs="宋体"/>
          <w:color w:val="auto"/>
          <w:kern w:val="0"/>
          <w:sz w:val="24"/>
          <w:szCs w:val="20"/>
        </w:rPr>
        <w:t xml:space="preserve">                                 </w:t>
      </w:r>
    </w:p>
    <w:p>
      <w:pPr>
        <w:spacing w:before="78" w:beforeLines="25" w:after="78" w:afterLines="25" w:line="460" w:lineRule="exact"/>
        <w:ind w:firstLine="480" w:firstLineChars="200"/>
        <w:rPr>
          <w:rFonts w:ascii="宋体" w:hAnsi="宋体" w:cs="宋体"/>
          <w:color w:val="auto"/>
          <w:kern w:val="0"/>
          <w:sz w:val="24"/>
          <w:szCs w:val="20"/>
        </w:rPr>
      </w:pPr>
    </w:p>
    <w:p>
      <w:pPr>
        <w:pStyle w:val="16"/>
        <w:spacing w:line="360" w:lineRule="auto"/>
        <w:rPr>
          <w:rFonts w:ascii="Times New Roman" w:hAnsi="Times New Roman"/>
          <w:color w:val="auto"/>
          <w:szCs w:val="21"/>
        </w:rPr>
        <w:sectPr>
          <w:pgSz w:w="11906" w:h="16838"/>
          <w:pgMar w:top="1440" w:right="1800" w:bottom="1440" w:left="1800" w:header="850" w:footer="850" w:gutter="0"/>
          <w:cols w:space="720" w:num="1"/>
          <w:docGrid w:type="lines" w:linePitch="312" w:charSpace="0"/>
        </w:sectPr>
      </w:pPr>
    </w:p>
    <w:p>
      <w:pPr>
        <w:pStyle w:val="5"/>
        <w:jc w:val="center"/>
        <w:rPr>
          <w:rFonts w:ascii="Times New Roman" w:hAnsi="Times New Roman" w:eastAsia="楷体"/>
          <w:color w:val="auto"/>
        </w:rPr>
      </w:pPr>
      <w:bookmarkStart w:id="46" w:name="_Toc455914619"/>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w:t>
      </w:r>
      <w:r>
        <w:rPr>
          <w:rFonts w:hint="eastAsia" w:ascii="Times New Roman" w:hAnsi="Times New Roman" w:eastAsia="楷体"/>
          <w:color w:val="auto"/>
          <w:sz w:val="44"/>
        </w:rPr>
        <w:t xml:space="preserve"> </w:t>
      </w:r>
      <w:r>
        <w:rPr>
          <w:rFonts w:ascii="Times New Roman" w:hAnsi="Times New Roman" w:eastAsia="楷体"/>
          <w:color w:val="auto"/>
          <w:sz w:val="44"/>
        </w:rPr>
        <w:t>投标文件格式</w:t>
      </w:r>
      <w:bookmarkEnd w:id="46"/>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18"/>
        </w:numPr>
        <w:jc w:val="center"/>
        <w:rPr>
          <w:rFonts w:hAnsi="宋体"/>
          <w:color w:val="auto"/>
          <w:sz w:val="36"/>
          <w:szCs w:val="36"/>
        </w:rPr>
      </w:pPr>
      <w:bookmarkStart w:id="47"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28"/>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项目名称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投标总价</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免费质保期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主要货物</w:t>
            </w:r>
          </w:p>
          <w:p>
            <w:pPr>
              <w:pStyle w:val="16"/>
              <w:spacing w:after="156" w:afterLines="50" w:line="440" w:lineRule="exact"/>
              <w:jc w:val="center"/>
              <w:rPr>
                <w:rFonts w:hAnsi="宋体"/>
                <w:color w:val="auto"/>
                <w:szCs w:val="21"/>
              </w:rPr>
            </w:pPr>
            <w:r>
              <w:rPr>
                <w:rFonts w:hint="eastAsia" w:hAnsi="宋体"/>
                <w:color w:val="auto"/>
                <w:szCs w:val="21"/>
              </w:rPr>
              <w:t>生产者及产地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center"/>
              <w:rPr>
                <w:rFonts w:hint="eastAsia" w:hAnsi="宋体"/>
                <w:color w:val="auto"/>
                <w:szCs w:val="21"/>
              </w:rPr>
            </w:pPr>
            <w:r>
              <w:rPr>
                <w:rFonts w:hint="eastAsia" w:hAnsi="宋体"/>
                <w:color w:val="auto"/>
                <w:szCs w:val="21"/>
              </w:rPr>
              <w:t>投标人是否属于</w:t>
            </w:r>
          </w:p>
          <w:p>
            <w:pPr>
              <w:pStyle w:val="16"/>
              <w:spacing w:after="156" w:afterLines="50" w:line="360" w:lineRule="auto"/>
              <w:jc w:val="center"/>
              <w:rPr>
                <w:rFonts w:hint="eastAsia" w:ascii="宋体" w:hAnsi="宋体" w:eastAsia="宋体" w:cs="Times New Roman"/>
                <w:color w:val="auto"/>
                <w:kern w:val="2"/>
                <w:sz w:val="21"/>
                <w:szCs w:val="21"/>
                <w:lang w:val="en-US" w:eastAsia="zh-CN" w:bidi="ar-SA"/>
              </w:rPr>
            </w:pPr>
            <w:r>
              <w:rPr>
                <w:rFonts w:hint="eastAsia" w:hAnsi="宋体"/>
                <w:color w:val="auto"/>
                <w:szCs w:val="21"/>
              </w:rPr>
              <w:t>小微企业</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360" w:lineRule="auto"/>
              <w:jc w:val="left"/>
              <w:rPr>
                <w:rFonts w:ascii="宋体" w:hAnsi="宋体" w:eastAsia="宋体" w:cs="Times New Roman"/>
                <w:color w:val="auto"/>
                <w:kern w:val="2"/>
                <w:sz w:val="21"/>
                <w:szCs w:val="21"/>
                <w:lang w:val="en-US" w:eastAsia="zh-CN" w:bidi="ar-SA"/>
              </w:rPr>
            </w:pPr>
            <w:r>
              <w:rPr>
                <w:rFonts w:hAnsi="宋体" w:cs="宋体"/>
                <w:color w:val="auto"/>
                <w:szCs w:val="21"/>
                <w:u w:val="single"/>
              </w:rPr>
              <w:t xml:space="preserve">           </w:t>
            </w:r>
            <w:r>
              <w:rPr>
                <w:rFonts w:hint="eastAsia" w:hAnsi="宋体" w:cs="宋体"/>
                <w:color w:val="auto"/>
                <w:szCs w:val="21"/>
                <w:u w:val="single"/>
              </w:rPr>
              <w:t xml:space="preserve">   </w:t>
            </w:r>
            <w:r>
              <w:rPr>
                <w:rFonts w:hAnsi="宋体" w:cs="宋体"/>
                <w:color w:val="auto"/>
                <w:szCs w:val="21"/>
                <w:u w:val="single"/>
              </w:rPr>
              <w:t xml:space="preserve">         </w:t>
            </w:r>
            <w:r>
              <w:rPr>
                <w:rFonts w:hint="eastAsia" w:hAnsi="宋体" w:cs="宋体"/>
                <w:color w:val="auto"/>
                <w:szCs w:val="21"/>
              </w:rPr>
              <w:t>（</w:t>
            </w:r>
            <w:r>
              <w:rPr>
                <w:rFonts w:hint="eastAsia" w:hAnsi="宋体" w:cs="宋体"/>
                <w:color w:val="auto"/>
                <w:szCs w:val="21"/>
                <w:lang w:val="zh-CN"/>
              </w:rPr>
              <w:t>填写“是”或“否</w:t>
            </w:r>
            <w:r>
              <w:rPr>
                <w:rFonts w:hint="eastAsia" w:hAnsi="宋体" w:cs="宋体"/>
                <w:color w:val="auto"/>
                <w:szCs w:val="21"/>
              </w:rPr>
              <w:t>）</w:t>
            </w: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sectPr>
          <w:pgSz w:w="11906" w:h="16838"/>
          <w:pgMar w:top="1440" w:right="1800" w:bottom="1440" w:left="1800" w:header="850" w:footer="850" w:gutter="0"/>
          <w:cols w:space="720" w:num="1"/>
          <w:docGrid w:type="lines" w:linePitch="312" w:charSpace="0"/>
        </w:sectPr>
      </w:pPr>
    </w:p>
    <w:p>
      <w:pPr>
        <w:jc w:val="center"/>
        <w:rPr>
          <w:rFonts w:ascii="宋体" w:hAnsi="宋体"/>
          <w:color w:val="auto"/>
          <w:sz w:val="24"/>
        </w:rPr>
      </w:pPr>
      <w:r>
        <w:rPr>
          <w:rFonts w:hint="eastAsia" w:ascii="宋体" w:hAnsi="宋体"/>
          <w:b/>
          <w:color w:val="auto"/>
          <w:sz w:val="32"/>
          <w:szCs w:val="32"/>
        </w:rPr>
        <w:t>资格性和符合性检查响应对照及评分索引表</w:t>
      </w:r>
    </w:p>
    <w:p>
      <w:pPr>
        <w:rPr>
          <w:rFonts w:ascii="宋体" w:hAnsi="宋体"/>
          <w:color w:val="auto"/>
          <w:sz w:val="24"/>
        </w:rPr>
      </w:pPr>
    </w:p>
    <w:p>
      <w:pPr>
        <w:rPr>
          <w:rFonts w:ascii="宋体" w:hAnsi="宋体"/>
          <w:color w:val="auto"/>
          <w:sz w:val="24"/>
        </w:rPr>
      </w:pPr>
      <w:r>
        <w:rPr>
          <w:rFonts w:hint="eastAsia" w:ascii="宋体" w:hAnsi="宋体"/>
          <w:color w:val="auto"/>
          <w:sz w:val="24"/>
        </w:rPr>
        <w:t>投标人全称（加盖公章）：</w:t>
      </w:r>
    </w:p>
    <w:p>
      <w:pPr>
        <w:ind w:firstLine="309"/>
        <w:rPr>
          <w:rFonts w:ascii="宋体" w:hAnsi="宋体"/>
          <w:color w:val="auto"/>
          <w:sz w:val="24"/>
        </w:rPr>
      </w:pP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58"/>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80"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sectPr>
          <w:pgSz w:w="11906" w:h="16838"/>
          <w:pgMar w:top="1440" w:right="1800" w:bottom="1440" w:left="1800" w:header="850" w:footer="850" w:gutter="0"/>
          <w:cols w:space="720" w:num="1"/>
          <w:docGrid w:type="lines" w:linePitch="312" w:charSpace="0"/>
        </w:sectPr>
      </w:pPr>
    </w:p>
    <w:p>
      <w:pPr>
        <w:jc w:val="center"/>
        <w:rPr>
          <w:rFonts w:ascii="宋体" w:hAnsi="宋体"/>
          <w:b/>
          <w:color w:val="auto"/>
          <w:sz w:val="36"/>
          <w:szCs w:val="36"/>
        </w:rPr>
      </w:pPr>
      <w:r>
        <w:rPr>
          <w:rFonts w:ascii="宋体" w:hAnsi="宋体"/>
          <w:b/>
          <w:color w:val="auto"/>
          <w:sz w:val="36"/>
          <w:szCs w:val="36"/>
        </w:rPr>
        <w:t>三、</w:t>
      </w:r>
      <w:bookmarkEnd w:id="47"/>
      <w:bookmarkStart w:id="48" w:name="_Toc157775469"/>
      <w:r>
        <w:rPr>
          <w:rFonts w:ascii="宋体" w:hAnsi="宋体"/>
          <w:b/>
          <w:color w:val="auto"/>
          <w:sz w:val="36"/>
          <w:szCs w:val="36"/>
        </w:rPr>
        <w:t>产品质保及服务承诺书</w:t>
      </w:r>
      <w:bookmarkStart w:id="49"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49"/>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48"/>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ascii="宋体" w:hAnsi="宋体"/>
          <w:color w:val="auto"/>
          <w:szCs w:val="21"/>
        </w:rPr>
        <w:sectPr>
          <w:pgSz w:w="11906" w:h="16838"/>
          <w:pgMar w:top="1440" w:right="1800" w:bottom="1440" w:left="180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p>
      <w:pPr>
        <w:spacing w:line="500" w:lineRule="exact"/>
        <w:ind w:firstLine="6720" w:firstLineChars="2400"/>
        <w:rPr>
          <w:rFonts w:ascii="仿宋_GB2312" w:hAnsi="宋体" w:eastAsia="仿宋_GB2312"/>
          <w:color w:val="auto"/>
          <w:sz w:val="28"/>
          <w:szCs w:val="28"/>
        </w:rPr>
      </w:pPr>
    </w:p>
    <w:p>
      <w:pPr>
        <w:spacing w:line="440" w:lineRule="exact"/>
        <w:rPr>
          <w:rFonts w:ascii="宋体" w:hAnsi="宋体"/>
          <w:color w:val="auto"/>
          <w:szCs w:val="21"/>
        </w:rPr>
      </w:pPr>
    </w:p>
    <w:sectPr>
      <w:pgSz w:w="11906" w:h="16838"/>
      <w:pgMar w:top="1440" w:right="1800" w:bottom="1440" w:left="180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DD6D6C"/>
    <w:multiLevelType w:val="singleLevel"/>
    <w:tmpl w:val="CDDD6D6C"/>
    <w:lvl w:ilvl="0" w:tentative="0">
      <w:start w:val="1"/>
      <w:numFmt w:val="decimal"/>
      <w:suff w:val="space"/>
      <w:lvlText w:val="%1."/>
      <w:lvlJc w:val="left"/>
    </w:lvl>
  </w:abstractNum>
  <w:abstractNum w:abstractNumId="1">
    <w:nsid w:val="0000000A"/>
    <w:multiLevelType w:val="multilevel"/>
    <w:tmpl w:val="0000000A"/>
    <w:lvl w:ilvl="0" w:tentative="0">
      <w:start w:val="1"/>
      <w:numFmt w:val="bullet"/>
      <w:lvlText w:val=""/>
      <w:lvlJc w:val="left"/>
      <w:pPr>
        <w:tabs>
          <w:tab w:val="left" w:pos="964"/>
        </w:tabs>
        <w:ind w:left="964" w:hanging="482"/>
      </w:pPr>
      <w:rPr>
        <w:rFonts w:hint="default" w:ascii="Wingdings" w:hAnsi="Wingdings"/>
        <w:b/>
        <w:color w:val="000000"/>
        <w:sz w:val="24"/>
        <w:szCs w:val="24"/>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3">
    <w:nsid w:val="0A1A3233"/>
    <w:multiLevelType w:val="multilevel"/>
    <w:tmpl w:val="0A1A323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043BCB"/>
    <w:multiLevelType w:val="multilevel"/>
    <w:tmpl w:val="0F043BCB"/>
    <w:lvl w:ilvl="0" w:tentative="0">
      <w:start w:val="1"/>
      <w:numFmt w:val="decimal"/>
      <w:lvlText w:val="%1)"/>
      <w:lvlJc w:val="left"/>
      <w:pPr>
        <w:ind w:left="0" w:hanging="420"/>
      </w:pPr>
      <w:rPr>
        <w:rFonts w:hint="eastAsia" w:ascii="宋体" w:hAnsi="宋体" w:eastAsia="宋体"/>
      </w:rPr>
    </w:lvl>
    <w:lvl w:ilvl="1" w:tentative="0">
      <w:start w:val="1"/>
      <w:numFmt w:val="lowerLetter"/>
      <w:lvlText w:val="%2)"/>
      <w:lvlJc w:val="left"/>
      <w:pPr>
        <w:ind w:left="-65" w:hanging="420"/>
      </w:pPr>
      <w:rPr>
        <w:rFonts w:hint="default" w:ascii="Times New Roman" w:hAnsi="Times New Roman" w:cs="Times New Roman"/>
      </w:rPr>
    </w:lvl>
    <w:lvl w:ilvl="2" w:tentative="0">
      <w:start w:val="1"/>
      <w:numFmt w:val="lowerRoman"/>
      <w:lvlText w:val="%3."/>
      <w:lvlJc w:val="right"/>
      <w:pPr>
        <w:ind w:left="355" w:hanging="420"/>
      </w:pPr>
      <w:rPr>
        <w:rFonts w:hint="default" w:ascii="Times New Roman" w:hAnsi="Times New Roman" w:cs="Times New Roman"/>
      </w:rPr>
    </w:lvl>
    <w:lvl w:ilvl="3" w:tentative="0">
      <w:start w:val="1"/>
      <w:numFmt w:val="decimal"/>
      <w:lvlText w:val="%4."/>
      <w:lvlJc w:val="left"/>
      <w:pPr>
        <w:ind w:left="775" w:hanging="420"/>
      </w:pPr>
      <w:rPr>
        <w:rFonts w:hint="default" w:ascii="Times New Roman" w:hAnsi="Times New Roman" w:cs="Times New Roman"/>
      </w:rPr>
    </w:lvl>
    <w:lvl w:ilvl="4" w:tentative="0">
      <w:start w:val="1"/>
      <w:numFmt w:val="lowerLetter"/>
      <w:lvlText w:val="%5)"/>
      <w:lvlJc w:val="left"/>
      <w:pPr>
        <w:ind w:left="1195" w:hanging="420"/>
      </w:pPr>
      <w:rPr>
        <w:rFonts w:hint="default" w:ascii="Times New Roman" w:hAnsi="Times New Roman" w:cs="Times New Roman"/>
      </w:rPr>
    </w:lvl>
    <w:lvl w:ilvl="5" w:tentative="0">
      <w:start w:val="1"/>
      <w:numFmt w:val="lowerRoman"/>
      <w:lvlText w:val="%6."/>
      <w:lvlJc w:val="right"/>
      <w:pPr>
        <w:ind w:left="1615" w:hanging="420"/>
      </w:pPr>
      <w:rPr>
        <w:rFonts w:hint="default" w:ascii="Times New Roman" w:hAnsi="Times New Roman" w:cs="Times New Roman"/>
      </w:rPr>
    </w:lvl>
    <w:lvl w:ilvl="6" w:tentative="0">
      <w:start w:val="1"/>
      <w:numFmt w:val="decimal"/>
      <w:lvlText w:val="%7."/>
      <w:lvlJc w:val="left"/>
      <w:pPr>
        <w:ind w:left="2035" w:hanging="420"/>
      </w:pPr>
      <w:rPr>
        <w:rFonts w:hint="default" w:ascii="Times New Roman" w:hAnsi="Times New Roman" w:cs="Times New Roman"/>
      </w:rPr>
    </w:lvl>
    <w:lvl w:ilvl="7" w:tentative="0">
      <w:start w:val="1"/>
      <w:numFmt w:val="lowerLetter"/>
      <w:lvlText w:val="%8)"/>
      <w:lvlJc w:val="left"/>
      <w:pPr>
        <w:ind w:left="2455" w:hanging="420"/>
      </w:pPr>
      <w:rPr>
        <w:rFonts w:hint="default" w:ascii="Times New Roman" w:hAnsi="Times New Roman" w:cs="Times New Roman"/>
      </w:rPr>
    </w:lvl>
    <w:lvl w:ilvl="8" w:tentative="0">
      <w:start w:val="1"/>
      <w:numFmt w:val="lowerRoman"/>
      <w:lvlText w:val="%9."/>
      <w:lvlJc w:val="right"/>
      <w:pPr>
        <w:ind w:left="2875" w:hanging="420"/>
      </w:pPr>
      <w:rPr>
        <w:rFonts w:hint="default" w:ascii="Times New Roman" w:hAnsi="Times New Roman" w:cs="Times New Roman"/>
      </w:rPr>
    </w:lvl>
  </w:abstractNum>
  <w:abstractNum w:abstractNumId="5">
    <w:nsid w:val="0F9028B3"/>
    <w:multiLevelType w:val="multilevel"/>
    <w:tmpl w:val="0F9028B3"/>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1D044FFF"/>
    <w:multiLevelType w:val="multilevel"/>
    <w:tmpl w:val="1D044FF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EB1EAF"/>
    <w:multiLevelType w:val="multilevel"/>
    <w:tmpl w:val="27EB1EA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3B306A1A"/>
    <w:multiLevelType w:val="multilevel"/>
    <w:tmpl w:val="3B306A1A"/>
    <w:lvl w:ilvl="0" w:tentative="0">
      <w:start w:val="1"/>
      <w:numFmt w:val="decimal"/>
      <w:lvlText w:val="%1)"/>
      <w:lvlJc w:val="left"/>
      <w:pPr>
        <w:ind w:left="905"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9E45DDA"/>
    <w:multiLevelType w:val="singleLevel"/>
    <w:tmpl w:val="59E45DDA"/>
    <w:lvl w:ilvl="0" w:tentative="0">
      <w:start w:val="1"/>
      <w:numFmt w:val="decimal"/>
      <w:suff w:val="nothing"/>
      <w:lvlText w:val="%1、"/>
      <w:lvlJc w:val="left"/>
    </w:lvl>
  </w:abstractNum>
  <w:abstractNum w:abstractNumId="11">
    <w:nsid w:val="59E4778C"/>
    <w:multiLevelType w:val="singleLevel"/>
    <w:tmpl w:val="59E4778C"/>
    <w:lvl w:ilvl="0" w:tentative="0">
      <w:start w:val="2"/>
      <w:numFmt w:val="chineseCounting"/>
      <w:suff w:val="nothing"/>
      <w:lvlText w:val="%1、"/>
      <w:lvlJc w:val="left"/>
    </w:lvl>
  </w:abstractNum>
  <w:abstractNum w:abstractNumId="12">
    <w:nsid w:val="59E80311"/>
    <w:multiLevelType w:val="singleLevel"/>
    <w:tmpl w:val="59E80311"/>
    <w:lvl w:ilvl="0" w:tentative="0">
      <w:start w:val="1"/>
      <w:numFmt w:val="decimal"/>
      <w:suff w:val="nothing"/>
      <w:lvlText w:val="%1、"/>
      <w:lvlJc w:val="left"/>
    </w:lvl>
  </w:abstractNum>
  <w:abstractNum w:abstractNumId="13">
    <w:nsid w:val="61BB1E43"/>
    <w:multiLevelType w:val="multilevel"/>
    <w:tmpl w:val="61BB1E4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E54855"/>
    <w:multiLevelType w:val="multilevel"/>
    <w:tmpl w:val="62E5485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36E3507"/>
    <w:multiLevelType w:val="multilevel"/>
    <w:tmpl w:val="636E3507"/>
    <w:lvl w:ilvl="0" w:tentative="0">
      <w:start w:val="1"/>
      <w:numFmt w:val="bullet"/>
      <w:lvlText w:val=""/>
      <w:lvlJc w:val="left"/>
      <w:pPr>
        <w:tabs>
          <w:tab w:val="left" w:pos="964"/>
        </w:tabs>
        <w:ind w:left="964" w:hanging="482"/>
      </w:pPr>
      <w:rPr>
        <w:rFonts w:hint="default" w:ascii="Wingdings" w:hAnsi="Wingdings"/>
        <w:b/>
        <w:color w:val="000000"/>
        <w:sz w:val="24"/>
        <w:szCs w:val="24"/>
      </w:rPr>
    </w:lvl>
    <w:lvl w:ilvl="1" w:tentative="0">
      <w:start w:val="2"/>
      <w:numFmt w:val="decimal"/>
      <w:lvlText w:val="%2、"/>
      <w:lvlJc w:val="left"/>
      <w:pPr>
        <w:ind w:left="1200" w:hanging="360"/>
      </w:pPr>
      <w:rPr>
        <w:rFonts w:hint="default" w:hAnsi="宋体" w:cs="宋体"/>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7">
    <w:nsid w:val="68387683"/>
    <w:multiLevelType w:val="multilevel"/>
    <w:tmpl w:val="6838768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16"/>
  </w:num>
  <w:num w:numId="4">
    <w:abstractNumId w:val="10"/>
  </w:num>
  <w:num w:numId="5">
    <w:abstractNumId w:val="12"/>
  </w:num>
  <w:num w:numId="6">
    <w:abstractNumId w:val="14"/>
  </w:num>
  <w:num w:numId="7">
    <w:abstractNumId w:val="5"/>
  </w:num>
  <w:num w:numId="8">
    <w:abstractNumId w:val="0"/>
  </w:num>
  <w:num w:numId="9">
    <w:abstractNumId w:val="17"/>
  </w:num>
  <w:num w:numId="10">
    <w:abstractNumId w:val="3"/>
  </w:num>
  <w:num w:numId="11">
    <w:abstractNumId w:val="13"/>
  </w:num>
  <w:num w:numId="12">
    <w:abstractNumId w:val="1"/>
    <w:lvlOverride w:ilvl="0">
      <w:startOverride w:val="1"/>
    </w:lvlOverride>
  </w:num>
  <w:num w:numId="13">
    <w:abstractNumId w:val="6"/>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249"/>
    <w:rsid w:val="0001432F"/>
    <w:rsid w:val="00014CEA"/>
    <w:rsid w:val="0001536F"/>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7E1"/>
    <w:rsid w:val="00035C7C"/>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206B"/>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994"/>
    <w:rsid w:val="000845EF"/>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3D7B"/>
    <w:rsid w:val="000B4B2F"/>
    <w:rsid w:val="000B4F15"/>
    <w:rsid w:val="000B5A0B"/>
    <w:rsid w:val="000B6719"/>
    <w:rsid w:val="000B6B65"/>
    <w:rsid w:val="000B6F01"/>
    <w:rsid w:val="000B714A"/>
    <w:rsid w:val="000C0549"/>
    <w:rsid w:val="000C2560"/>
    <w:rsid w:val="000C2B77"/>
    <w:rsid w:val="000C2EC0"/>
    <w:rsid w:val="000C31E7"/>
    <w:rsid w:val="000C6B9C"/>
    <w:rsid w:val="000C778C"/>
    <w:rsid w:val="000D18BF"/>
    <w:rsid w:val="000D1E80"/>
    <w:rsid w:val="000D25F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0D9"/>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76D"/>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6EA"/>
    <w:rsid w:val="00136B0A"/>
    <w:rsid w:val="001375D4"/>
    <w:rsid w:val="00141418"/>
    <w:rsid w:val="00141550"/>
    <w:rsid w:val="0014175F"/>
    <w:rsid w:val="00144709"/>
    <w:rsid w:val="00146032"/>
    <w:rsid w:val="001501D3"/>
    <w:rsid w:val="00150274"/>
    <w:rsid w:val="00150F69"/>
    <w:rsid w:val="001530A4"/>
    <w:rsid w:val="00154D16"/>
    <w:rsid w:val="00155511"/>
    <w:rsid w:val="00157D4C"/>
    <w:rsid w:val="0016061C"/>
    <w:rsid w:val="00161D93"/>
    <w:rsid w:val="00161E55"/>
    <w:rsid w:val="0016332D"/>
    <w:rsid w:val="001639B6"/>
    <w:rsid w:val="001655AE"/>
    <w:rsid w:val="00165747"/>
    <w:rsid w:val="001659A9"/>
    <w:rsid w:val="00165DA8"/>
    <w:rsid w:val="00167046"/>
    <w:rsid w:val="0016705A"/>
    <w:rsid w:val="001705D9"/>
    <w:rsid w:val="00171686"/>
    <w:rsid w:val="00171AF1"/>
    <w:rsid w:val="001735E5"/>
    <w:rsid w:val="00174F38"/>
    <w:rsid w:val="00177293"/>
    <w:rsid w:val="0017773A"/>
    <w:rsid w:val="00177C4F"/>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3A74"/>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27D7"/>
    <w:rsid w:val="001B4776"/>
    <w:rsid w:val="001B540E"/>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2CC0"/>
    <w:rsid w:val="00213454"/>
    <w:rsid w:val="002135BB"/>
    <w:rsid w:val="00213CD6"/>
    <w:rsid w:val="00215617"/>
    <w:rsid w:val="002157FA"/>
    <w:rsid w:val="00220A9C"/>
    <w:rsid w:val="00221655"/>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72B"/>
    <w:rsid w:val="0024380B"/>
    <w:rsid w:val="00244DEF"/>
    <w:rsid w:val="00247271"/>
    <w:rsid w:val="00247E3A"/>
    <w:rsid w:val="002501C2"/>
    <w:rsid w:val="00251021"/>
    <w:rsid w:val="00251188"/>
    <w:rsid w:val="00252465"/>
    <w:rsid w:val="00252F7F"/>
    <w:rsid w:val="002531CE"/>
    <w:rsid w:val="002536D7"/>
    <w:rsid w:val="00253DD3"/>
    <w:rsid w:val="00255E2E"/>
    <w:rsid w:val="00256464"/>
    <w:rsid w:val="00257191"/>
    <w:rsid w:val="00260712"/>
    <w:rsid w:val="0026130B"/>
    <w:rsid w:val="00261ED8"/>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67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B88"/>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40D"/>
    <w:rsid w:val="002F3CFD"/>
    <w:rsid w:val="002F45C3"/>
    <w:rsid w:val="002F4A3C"/>
    <w:rsid w:val="002F4F9A"/>
    <w:rsid w:val="002F5550"/>
    <w:rsid w:val="002F613E"/>
    <w:rsid w:val="002F6399"/>
    <w:rsid w:val="002F66B0"/>
    <w:rsid w:val="002F6EA3"/>
    <w:rsid w:val="00300287"/>
    <w:rsid w:val="00300C5E"/>
    <w:rsid w:val="00300FC8"/>
    <w:rsid w:val="00300FCA"/>
    <w:rsid w:val="00301AFE"/>
    <w:rsid w:val="00301BB4"/>
    <w:rsid w:val="00302267"/>
    <w:rsid w:val="00302AE6"/>
    <w:rsid w:val="00303256"/>
    <w:rsid w:val="00304C94"/>
    <w:rsid w:val="00304FF0"/>
    <w:rsid w:val="0030531B"/>
    <w:rsid w:val="00306FAC"/>
    <w:rsid w:val="00307670"/>
    <w:rsid w:val="003079F8"/>
    <w:rsid w:val="00307D74"/>
    <w:rsid w:val="00310BC7"/>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3AD8"/>
    <w:rsid w:val="00345996"/>
    <w:rsid w:val="0034661F"/>
    <w:rsid w:val="003469A9"/>
    <w:rsid w:val="00346E54"/>
    <w:rsid w:val="00347606"/>
    <w:rsid w:val="00347D43"/>
    <w:rsid w:val="00350C48"/>
    <w:rsid w:val="00351315"/>
    <w:rsid w:val="00351B4D"/>
    <w:rsid w:val="00351D35"/>
    <w:rsid w:val="00352938"/>
    <w:rsid w:val="00352AA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691"/>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5A7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A54"/>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87863"/>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20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9F6"/>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4387"/>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278A"/>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0553"/>
    <w:rsid w:val="005C26D1"/>
    <w:rsid w:val="005C28D9"/>
    <w:rsid w:val="005C2C9C"/>
    <w:rsid w:val="005C3929"/>
    <w:rsid w:val="005C4EC5"/>
    <w:rsid w:val="005C552E"/>
    <w:rsid w:val="005C6108"/>
    <w:rsid w:val="005C6282"/>
    <w:rsid w:val="005C6968"/>
    <w:rsid w:val="005C794A"/>
    <w:rsid w:val="005D00E3"/>
    <w:rsid w:val="005D0296"/>
    <w:rsid w:val="005D19F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1FA7"/>
    <w:rsid w:val="005E20B1"/>
    <w:rsid w:val="005E2A32"/>
    <w:rsid w:val="005E33E6"/>
    <w:rsid w:val="005E4A4B"/>
    <w:rsid w:val="005E4BD8"/>
    <w:rsid w:val="005E4D64"/>
    <w:rsid w:val="005E52C3"/>
    <w:rsid w:val="005E607F"/>
    <w:rsid w:val="005E612C"/>
    <w:rsid w:val="005E635A"/>
    <w:rsid w:val="005E6948"/>
    <w:rsid w:val="005E7460"/>
    <w:rsid w:val="005F034C"/>
    <w:rsid w:val="005F112A"/>
    <w:rsid w:val="005F2C91"/>
    <w:rsid w:val="005F3067"/>
    <w:rsid w:val="005F3DBC"/>
    <w:rsid w:val="005F6377"/>
    <w:rsid w:val="005F6AB2"/>
    <w:rsid w:val="005F7AB6"/>
    <w:rsid w:val="006001FC"/>
    <w:rsid w:val="00600CA3"/>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5AB"/>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4E5E"/>
    <w:rsid w:val="0065510C"/>
    <w:rsid w:val="00655C54"/>
    <w:rsid w:val="00657832"/>
    <w:rsid w:val="006578BB"/>
    <w:rsid w:val="006608BD"/>
    <w:rsid w:val="006614E6"/>
    <w:rsid w:val="00661A0B"/>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21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41A"/>
    <w:rsid w:val="006A4F0D"/>
    <w:rsid w:val="006A55D8"/>
    <w:rsid w:val="006A57F3"/>
    <w:rsid w:val="006A5902"/>
    <w:rsid w:val="006A6784"/>
    <w:rsid w:val="006A6AE5"/>
    <w:rsid w:val="006A7487"/>
    <w:rsid w:val="006A7654"/>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C7149"/>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F68"/>
    <w:rsid w:val="006E42FD"/>
    <w:rsid w:val="006E4C19"/>
    <w:rsid w:val="006E547C"/>
    <w:rsid w:val="006E5C11"/>
    <w:rsid w:val="006E5D2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2FFE"/>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4696"/>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9CB"/>
    <w:rsid w:val="00806CDF"/>
    <w:rsid w:val="00807CF2"/>
    <w:rsid w:val="00810A59"/>
    <w:rsid w:val="00810D37"/>
    <w:rsid w:val="00811490"/>
    <w:rsid w:val="00811A23"/>
    <w:rsid w:val="00811D64"/>
    <w:rsid w:val="0081305D"/>
    <w:rsid w:val="0081403B"/>
    <w:rsid w:val="00814507"/>
    <w:rsid w:val="008148BE"/>
    <w:rsid w:val="0081732B"/>
    <w:rsid w:val="00817C79"/>
    <w:rsid w:val="00820923"/>
    <w:rsid w:val="008213DF"/>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71B"/>
    <w:rsid w:val="00847873"/>
    <w:rsid w:val="00847A02"/>
    <w:rsid w:val="00847E88"/>
    <w:rsid w:val="00850B18"/>
    <w:rsid w:val="00850EA5"/>
    <w:rsid w:val="00851F10"/>
    <w:rsid w:val="00852E50"/>
    <w:rsid w:val="00853230"/>
    <w:rsid w:val="00854CF2"/>
    <w:rsid w:val="008552D9"/>
    <w:rsid w:val="0085549D"/>
    <w:rsid w:val="00855AA5"/>
    <w:rsid w:val="00855AF6"/>
    <w:rsid w:val="00857280"/>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7C9"/>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51B"/>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0C02"/>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26A"/>
    <w:rsid w:val="008F3248"/>
    <w:rsid w:val="008F38D4"/>
    <w:rsid w:val="008F4346"/>
    <w:rsid w:val="008F4665"/>
    <w:rsid w:val="008F4667"/>
    <w:rsid w:val="008F54A9"/>
    <w:rsid w:val="008F5F82"/>
    <w:rsid w:val="008F70C6"/>
    <w:rsid w:val="008F7183"/>
    <w:rsid w:val="008F77B0"/>
    <w:rsid w:val="008F7844"/>
    <w:rsid w:val="008F7EEB"/>
    <w:rsid w:val="00900828"/>
    <w:rsid w:val="00901430"/>
    <w:rsid w:val="00902276"/>
    <w:rsid w:val="0090278C"/>
    <w:rsid w:val="009034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1DD6"/>
    <w:rsid w:val="009320BA"/>
    <w:rsid w:val="0093348C"/>
    <w:rsid w:val="009350D6"/>
    <w:rsid w:val="00935445"/>
    <w:rsid w:val="00936CEE"/>
    <w:rsid w:val="009379BD"/>
    <w:rsid w:val="00940651"/>
    <w:rsid w:val="009406F6"/>
    <w:rsid w:val="00940B8F"/>
    <w:rsid w:val="0094235A"/>
    <w:rsid w:val="00942701"/>
    <w:rsid w:val="00943A41"/>
    <w:rsid w:val="00943B33"/>
    <w:rsid w:val="00944E24"/>
    <w:rsid w:val="00944E2A"/>
    <w:rsid w:val="00945367"/>
    <w:rsid w:val="0094676B"/>
    <w:rsid w:val="00947429"/>
    <w:rsid w:val="00950081"/>
    <w:rsid w:val="00952257"/>
    <w:rsid w:val="00953664"/>
    <w:rsid w:val="009554FD"/>
    <w:rsid w:val="00956AC3"/>
    <w:rsid w:val="0096042A"/>
    <w:rsid w:val="00960614"/>
    <w:rsid w:val="00961699"/>
    <w:rsid w:val="00962093"/>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4474"/>
    <w:rsid w:val="0099590C"/>
    <w:rsid w:val="00995994"/>
    <w:rsid w:val="0099694E"/>
    <w:rsid w:val="00996AE7"/>
    <w:rsid w:val="009A0DDE"/>
    <w:rsid w:val="009A10CB"/>
    <w:rsid w:val="009A4B1E"/>
    <w:rsid w:val="009A4CB4"/>
    <w:rsid w:val="009A5C0E"/>
    <w:rsid w:val="009A7A84"/>
    <w:rsid w:val="009B08AB"/>
    <w:rsid w:val="009B13E7"/>
    <w:rsid w:val="009B14D8"/>
    <w:rsid w:val="009B174D"/>
    <w:rsid w:val="009B1A72"/>
    <w:rsid w:val="009B391E"/>
    <w:rsid w:val="009B3E4F"/>
    <w:rsid w:val="009B4331"/>
    <w:rsid w:val="009B4A68"/>
    <w:rsid w:val="009B598A"/>
    <w:rsid w:val="009B5A1A"/>
    <w:rsid w:val="009B7225"/>
    <w:rsid w:val="009B74D0"/>
    <w:rsid w:val="009C0727"/>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C1C"/>
    <w:rsid w:val="009E0516"/>
    <w:rsid w:val="009E0A9B"/>
    <w:rsid w:val="009E0DFA"/>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356"/>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278"/>
    <w:rsid w:val="00A316C9"/>
    <w:rsid w:val="00A32259"/>
    <w:rsid w:val="00A327A6"/>
    <w:rsid w:val="00A3296C"/>
    <w:rsid w:val="00A32B91"/>
    <w:rsid w:val="00A33A66"/>
    <w:rsid w:val="00A33B0F"/>
    <w:rsid w:val="00A34843"/>
    <w:rsid w:val="00A35936"/>
    <w:rsid w:val="00A35A82"/>
    <w:rsid w:val="00A3660E"/>
    <w:rsid w:val="00A408B8"/>
    <w:rsid w:val="00A4102C"/>
    <w:rsid w:val="00A410E1"/>
    <w:rsid w:val="00A419EE"/>
    <w:rsid w:val="00A42559"/>
    <w:rsid w:val="00A42BC8"/>
    <w:rsid w:val="00A42F29"/>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3CD"/>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C85"/>
    <w:rsid w:val="00A85DE0"/>
    <w:rsid w:val="00A8716A"/>
    <w:rsid w:val="00A90C00"/>
    <w:rsid w:val="00A9144D"/>
    <w:rsid w:val="00A91469"/>
    <w:rsid w:val="00A9248A"/>
    <w:rsid w:val="00A930C5"/>
    <w:rsid w:val="00A938C4"/>
    <w:rsid w:val="00A93AA6"/>
    <w:rsid w:val="00A941D1"/>
    <w:rsid w:val="00A97958"/>
    <w:rsid w:val="00A97AC3"/>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3EA"/>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145"/>
    <w:rsid w:val="00AD2D21"/>
    <w:rsid w:val="00AD2EF5"/>
    <w:rsid w:val="00AD4B12"/>
    <w:rsid w:val="00AD54BD"/>
    <w:rsid w:val="00AD5AAA"/>
    <w:rsid w:val="00AD655E"/>
    <w:rsid w:val="00AD6DC9"/>
    <w:rsid w:val="00AD7ABB"/>
    <w:rsid w:val="00AE0131"/>
    <w:rsid w:val="00AE0923"/>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68F2"/>
    <w:rsid w:val="00B27EB2"/>
    <w:rsid w:val="00B301FD"/>
    <w:rsid w:val="00B3052E"/>
    <w:rsid w:val="00B30B33"/>
    <w:rsid w:val="00B30CA0"/>
    <w:rsid w:val="00B30F5A"/>
    <w:rsid w:val="00B320F8"/>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894"/>
    <w:rsid w:val="00B44405"/>
    <w:rsid w:val="00B46666"/>
    <w:rsid w:val="00B46851"/>
    <w:rsid w:val="00B46F0C"/>
    <w:rsid w:val="00B50E43"/>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A19"/>
    <w:rsid w:val="00B74488"/>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87CB7"/>
    <w:rsid w:val="00B91824"/>
    <w:rsid w:val="00B91BBA"/>
    <w:rsid w:val="00B91C90"/>
    <w:rsid w:val="00B91D7D"/>
    <w:rsid w:val="00B92370"/>
    <w:rsid w:val="00B92883"/>
    <w:rsid w:val="00B9440C"/>
    <w:rsid w:val="00B9478D"/>
    <w:rsid w:val="00B95348"/>
    <w:rsid w:val="00B95B74"/>
    <w:rsid w:val="00B96042"/>
    <w:rsid w:val="00B96A8D"/>
    <w:rsid w:val="00BA08B3"/>
    <w:rsid w:val="00BA094F"/>
    <w:rsid w:val="00BA0BBA"/>
    <w:rsid w:val="00BA411A"/>
    <w:rsid w:val="00BA4689"/>
    <w:rsid w:val="00BA4956"/>
    <w:rsid w:val="00BA54CE"/>
    <w:rsid w:val="00BA59B0"/>
    <w:rsid w:val="00BA5FC9"/>
    <w:rsid w:val="00BA629F"/>
    <w:rsid w:val="00BA6992"/>
    <w:rsid w:val="00BA6C1C"/>
    <w:rsid w:val="00BA78A3"/>
    <w:rsid w:val="00BB12C9"/>
    <w:rsid w:val="00BB278A"/>
    <w:rsid w:val="00BB2C98"/>
    <w:rsid w:val="00BB2F31"/>
    <w:rsid w:val="00BB3842"/>
    <w:rsid w:val="00BB3B4F"/>
    <w:rsid w:val="00BB3BBC"/>
    <w:rsid w:val="00BB3CCC"/>
    <w:rsid w:val="00BB6B0A"/>
    <w:rsid w:val="00BB6BFF"/>
    <w:rsid w:val="00BC0D81"/>
    <w:rsid w:val="00BC397A"/>
    <w:rsid w:val="00BC4CAE"/>
    <w:rsid w:val="00BC6073"/>
    <w:rsid w:val="00BC6124"/>
    <w:rsid w:val="00BC631F"/>
    <w:rsid w:val="00BC6A3E"/>
    <w:rsid w:val="00BC6DC4"/>
    <w:rsid w:val="00BC7AC7"/>
    <w:rsid w:val="00BD1A4B"/>
    <w:rsid w:val="00BD1B8A"/>
    <w:rsid w:val="00BD1CB9"/>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2301"/>
    <w:rsid w:val="00C03322"/>
    <w:rsid w:val="00C0345F"/>
    <w:rsid w:val="00C0380A"/>
    <w:rsid w:val="00C041DB"/>
    <w:rsid w:val="00C041EC"/>
    <w:rsid w:val="00C04434"/>
    <w:rsid w:val="00C04947"/>
    <w:rsid w:val="00C0574D"/>
    <w:rsid w:val="00C05AB8"/>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2064"/>
    <w:rsid w:val="00C33039"/>
    <w:rsid w:val="00C332B1"/>
    <w:rsid w:val="00C34409"/>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82F"/>
    <w:rsid w:val="00C52F84"/>
    <w:rsid w:val="00C53355"/>
    <w:rsid w:val="00C54B8F"/>
    <w:rsid w:val="00C5513C"/>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01C"/>
    <w:rsid w:val="00C803DC"/>
    <w:rsid w:val="00C8050E"/>
    <w:rsid w:val="00C83D81"/>
    <w:rsid w:val="00C8410D"/>
    <w:rsid w:val="00C84799"/>
    <w:rsid w:val="00C84AE2"/>
    <w:rsid w:val="00C86BAF"/>
    <w:rsid w:val="00C8771E"/>
    <w:rsid w:val="00C87AB6"/>
    <w:rsid w:val="00C90317"/>
    <w:rsid w:val="00C90485"/>
    <w:rsid w:val="00C90519"/>
    <w:rsid w:val="00C90CF3"/>
    <w:rsid w:val="00C91D01"/>
    <w:rsid w:val="00C93EF4"/>
    <w:rsid w:val="00C94327"/>
    <w:rsid w:val="00C950DF"/>
    <w:rsid w:val="00CA06A5"/>
    <w:rsid w:val="00CA0A43"/>
    <w:rsid w:val="00CA11B8"/>
    <w:rsid w:val="00CA1C25"/>
    <w:rsid w:val="00CA2DA5"/>
    <w:rsid w:val="00CA31B8"/>
    <w:rsid w:val="00CA32FA"/>
    <w:rsid w:val="00CA3928"/>
    <w:rsid w:val="00CA4FED"/>
    <w:rsid w:val="00CA58D7"/>
    <w:rsid w:val="00CA5B2C"/>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58AD"/>
    <w:rsid w:val="00CC6B33"/>
    <w:rsid w:val="00CC6ECC"/>
    <w:rsid w:val="00CC700D"/>
    <w:rsid w:val="00CC7CA1"/>
    <w:rsid w:val="00CD0682"/>
    <w:rsid w:val="00CD0E0A"/>
    <w:rsid w:val="00CD1F58"/>
    <w:rsid w:val="00CD2CFD"/>
    <w:rsid w:val="00CD2D45"/>
    <w:rsid w:val="00CD2DA3"/>
    <w:rsid w:val="00CD3B4F"/>
    <w:rsid w:val="00CD3E1E"/>
    <w:rsid w:val="00CD5548"/>
    <w:rsid w:val="00CD56E0"/>
    <w:rsid w:val="00CD5A46"/>
    <w:rsid w:val="00CD6502"/>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B3"/>
    <w:rsid w:val="00D043CF"/>
    <w:rsid w:val="00D04A7D"/>
    <w:rsid w:val="00D051AC"/>
    <w:rsid w:val="00D059AA"/>
    <w:rsid w:val="00D05A8F"/>
    <w:rsid w:val="00D060ED"/>
    <w:rsid w:val="00D06665"/>
    <w:rsid w:val="00D0739A"/>
    <w:rsid w:val="00D1030A"/>
    <w:rsid w:val="00D10405"/>
    <w:rsid w:val="00D10479"/>
    <w:rsid w:val="00D10574"/>
    <w:rsid w:val="00D11D8A"/>
    <w:rsid w:val="00D120F3"/>
    <w:rsid w:val="00D14895"/>
    <w:rsid w:val="00D15932"/>
    <w:rsid w:val="00D15F6E"/>
    <w:rsid w:val="00D16E59"/>
    <w:rsid w:val="00D17616"/>
    <w:rsid w:val="00D20BAC"/>
    <w:rsid w:val="00D21E7F"/>
    <w:rsid w:val="00D222C6"/>
    <w:rsid w:val="00D22593"/>
    <w:rsid w:val="00D246B0"/>
    <w:rsid w:val="00D252BB"/>
    <w:rsid w:val="00D25385"/>
    <w:rsid w:val="00D2555F"/>
    <w:rsid w:val="00D25EE8"/>
    <w:rsid w:val="00D26AFA"/>
    <w:rsid w:val="00D30DED"/>
    <w:rsid w:val="00D30F6C"/>
    <w:rsid w:val="00D31112"/>
    <w:rsid w:val="00D321C3"/>
    <w:rsid w:val="00D336CE"/>
    <w:rsid w:val="00D33E62"/>
    <w:rsid w:val="00D342B6"/>
    <w:rsid w:val="00D35097"/>
    <w:rsid w:val="00D35216"/>
    <w:rsid w:val="00D35ECC"/>
    <w:rsid w:val="00D363C9"/>
    <w:rsid w:val="00D36497"/>
    <w:rsid w:val="00D37BC1"/>
    <w:rsid w:val="00D41F54"/>
    <w:rsid w:val="00D42489"/>
    <w:rsid w:val="00D42706"/>
    <w:rsid w:val="00D4300A"/>
    <w:rsid w:val="00D43C94"/>
    <w:rsid w:val="00D44D47"/>
    <w:rsid w:val="00D458B2"/>
    <w:rsid w:val="00D4611F"/>
    <w:rsid w:val="00D4646A"/>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16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9CD"/>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277"/>
    <w:rsid w:val="00DF43EE"/>
    <w:rsid w:val="00DF4CB2"/>
    <w:rsid w:val="00DF513E"/>
    <w:rsid w:val="00DF52CE"/>
    <w:rsid w:val="00DF7535"/>
    <w:rsid w:val="00E00D54"/>
    <w:rsid w:val="00E01729"/>
    <w:rsid w:val="00E029D6"/>
    <w:rsid w:val="00E02BFD"/>
    <w:rsid w:val="00E02E81"/>
    <w:rsid w:val="00E03126"/>
    <w:rsid w:val="00E044A9"/>
    <w:rsid w:val="00E047A0"/>
    <w:rsid w:val="00E049F7"/>
    <w:rsid w:val="00E05723"/>
    <w:rsid w:val="00E0693D"/>
    <w:rsid w:val="00E077A7"/>
    <w:rsid w:val="00E11B5F"/>
    <w:rsid w:val="00E13082"/>
    <w:rsid w:val="00E1495D"/>
    <w:rsid w:val="00E14E96"/>
    <w:rsid w:val="00E14F26"/>
    <w:rsid w:val="00E171B9"/>
    <w:rsid w:val="00E17606"/>
    <w:rsid w:val="00E17AFC"/>
    <w:rsid w:val="00E17F63"/>
    <w:rsid w:val="00E20386"/>
    <w:rsid w:val="00E2104E"/>
    <w:rsid w:val="00E212FD"/>
    <w:rsid w:val="00E21508"/>
    <w:rsid w:val="00E22AD2"/>
    <w:rsid w:val="00E22F40"/>
    <w:rsid w:val="00E23569"/>
    <w:rsid w:val="00E23F51"/>
    <w:rsid w:val="00E24564"/>
    <w:rsid w:val="00E25063"/>
    <w:rsid w:val="00E25604"/>
    <w:rsid w:val="00E277D4"/>
    <w:rsid w:val="00E27D0D"/>
    <w:rsid w:val="00E30748"/>
    <w:rsid w:val="00E31854"/>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222"/>
    <w:rsid w:val="00E51506"/>
    <w:rsid w:val="00E51EF8"/>
    <w:rsid w:val="00E52833"/>
    <w:rsid w:val="00E5338C"/>
    <w:rsid w:val="00E53F95"/>
    <w:rsid w:val="00E54AF0"/>
    <w:rsid w:val="00E5682B"/>
    <w:rsid w:val="00E573C4"/>
    <w:rsid w:val="00E57EEE"/>
    <w:rsid w:val="00E609F1"/>
    <w:rsid w:val="00E613FE"/>
    <w:rsid w:val="00E6222F"/>
    <w:rsid w:val="00E62D1C"/>
    <w:rsid w:val="00E62FE9"/>
    <w:rsid w:val="00E63AF9"/>
    <w:rsid w:val="00E65198"/>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4A95"/>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938"/>
    <w:rsid w:val="00EB11D6"/>
    <w:rsid w:val="00EB2029"/>
    <w:rsid w:val="00EB35BF"/>
    <w:rsid w:val="00EB425A"/>
    <w:rsid w:val="00EB4822"/>
    <w:rsid w:val="00EB5660"/>
    <w:rsid w:val="00EB56D6"/>
    <w:rsid w:val="00EB597E"/>
    <w:rsid w:val="00EB6A4C"/>
    <w:rsid w:val="00EB6CFF"/>
    <w:rsid w:val="00EB72A7"/>
    <w:rsid w:val="00EC06BA"/>
    <w:rsid w:val="00EC0CC3"/>
    <w:rsid w:val="00EC1B6B"/>
    <w:rsid w:val="00EC3A5A"/>
    <w:rsid w:val="00EC4567"/>
    <w:rsid w:val="00EC57B9"/>
    <w:rsid w:val="00EC6A44"/>
    <w:rsid w:val="00EC6EEF"/>
    <w:rsid w:val="00ED09D8"/>
    <w:rsid w:val="00ED12BF"/>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757"/>
    <w:rsid w:val="00F120A8"/>
    <w:rsid w:val="00F13B69"/>
    <w:rsid w:val="00F14C6A"/>
    <w:rsid w:val="00F174CE"/>
    <w:rsid w:val="00F1793C"/>
    <w:rsid w:val="00F232E1"/>
    <w:rsid w:val="00F23D58"/>
    <w:rsid w:val="00F23F9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945"/>
    <w:rsid w:val="00F44F0E"/>
    <w:rsid w:val="00F45CC5"/>
    <w:rsid w:val="00F4643E"/>
    <w:rsid w:val="00F46B2E"/>
    <w:rsid w:val="00F47179"/>
    <w:rsid w:val="00F47CA9"/>
    <w:rsid w:val="00F501A3"/>
    <w:rsid w:val="00F50C6B"/>
    <w:rsid w:val="00F50F38"/>
    <w:rsid w:val="00F52091"/>
    <w:rsid w:val="00F53C95"/>
    <w:rsid w:val="00F53DF7"/>
    <w:rsid w:val="00F55E68"/>
    <w:rsid w:val="00F56CF5"/>
    <w:rsid w:val="00F57AD9"/>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5782"/>
    <w:rsid w:val="00F76411"/>
    <w:rsid w:val="00F76A34"/>
    <w:rsid w:val="00F80559"/>
    <w:rsid w:val="00F807D3"/>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CB7"/>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1B9C"/>
    <w:rsid w:val="00FE240F"/>
    <w:rsid w:val="00FE3215"/>
    <w:rsid w:val="00FE42A4"/>
    <w:rsid w:val="00FE478C"/>
    <w:rsid w:val="00FE4B3D"/>
    <w:rsid w:val="00FE50B2"/>
    <w:rsid w:val="00FE5CCF"/>
    <w:rsid w:val="00FE61DA"/>
    <w:rsid w:val="00FE6582"/>
    <w:rsid w:val="00FE65BC"/>
    <w:rsid w:val="00FE6AD4"/>
    <w:rsid w:val="00FE7029"/>
    <w:rsid w:val="00FE7230"/>
    <w:rsid w:val="00FF0B13"/>
    <w:rsid w:val="00FF0CEB"/>
    <w:rsid w:val="00FF17DA"/>
    <w:rsid w:val="00FF1A65"/>
    <w:rsid w:val="00FF449B"/>
    <w:rsid w:val="00FF4896"/>
    <w:rsid w:val="00FF56F8"/>
    <w:rsid w:val="00FF6A05"/>
    <w:rsid w:val="00FF6BBC"/>
    <w:rsid w:val="010B6B52"/>
    <w:rsid w:val="011876B2"/>
    <w:rsid w:val="01234426"/>
    <w:rsid w:val="016947E6"/>
    <w:rsid w:val="01D95223"/>
    <w:rsid w:val="02A71AEC"/>
    <w:rsid w:val="02D053CD"/>
    <w:rsid w:val="030D27AA"/>
    <w:rsid w:val="039C4061"/>
    <w:rsid w:val="03BD3559"/>
    <w:rsid w:val="03CC3A64"/>
    <w:rsid w:val="040B66EC"/>
    <w:rsid w:val="040D65F3"/>
    <w:rsid w:val="041C2774"/>
    <w:rsid w:val="04E478AB"/>
    <w:rsid w:val="053A4BCA"/>
    <w:rsid w:val="05A53634"/>
    <w:rsid w:val="05FD31FE"/>
    <w:rsid w:val="064C4F63"/>
    <w:rsid w:val="066C3913"/>
    <w:rsid w:val="069867ED"/>
    <w:rsid w:val="069D44BA"/>
    <w:rsid w:val="06B9246E"/>
    <w:rsid w:val="075A2A7B"/>
    <w:rsid w:val="07A4199C"/>
    <w:rsid w:val="07FB5644"/>
    <w:rsid w:val="0822758F"/>
    <w:rsid w:val="08313B80"/>
    <w:rsid w:val="083D72E7"/>
    <w:rsid w:val="08646A03"/>
    <w:rsid w:val="08D06CDC"/>
    <w:rsid w:val="09776951"/>
    <w:rsid w:val="097F5F89"/>
    <w:rsid w:val="098A0C99"/>
    <w:rsid w:val="0A477811"/>
    <w:rsid w:val="0AAF03A3"/>
    <w:rsid w:val="0ABB67CE"/>
    <w:rsid w:val="0B0444E6"/>
    <w:rsid w:val="0B421B63"/>
    <w:rsid w:val="0B7845B6"/>
    <w:rsid w:val="0B8E69E5"/>
    <w:rsid w:val="0BA80258"/>
    <w:rsid w:val="0C3948A8"/>
    <w:rsid w:val="0CB83490"/>
    <w:rsid w:val="0CC12CF6"/>
    <w:rsid w:val="0D057A5C"/>
    <w:rsid w:val="0D427B70"/>
    <w:rsid w:val="0DF4150B"/>
    <w:rsid w:val="0E2C0509"/>
    <w:rsid w:val="0E9D5567"/>
    <w:rsid w:val="0EAF026E"/>
    <w:rsid w:val="0ED15280"/>
    <w:rsid w:val="0F5C5F40"/>
    <w:rsid w:val="0F7827A1"/>
    <w:rsid w:val="0FB26250"/>
    <w:rsid w:val="0FF76BC9"/>
    <w:rsid w:val="10124978"/>
    <w:rsid w:val="10B06A92"/>
    <w:rsid w:val="10FC488D"/>
    <w:rsid w:val="11111CDE"/>
    <w:rsid w:val="115E4830"/>
    <w:rsid w:val="11737783"/>
    <w:rsid w:val="117E3472"/>
    <w:rsid w:val="11B20C9C"/>
    <w:rsid w:val="12416A8A"/>
    <w:rsid w:val="12613F17"/>
    <w:rsid w:val="12F8325C"/>
    <w:rsid w:val="13036A3A"/>
    <w:rsid w:val="13484065"/>
    <w:rsid w:val="13E715FD"/>
    <w:rsid w:val="146677B7"/>
    <w:rsid w:val="14684CD8"/>
    <w:rsid w:val="14B55E2A"/>
    <w:rsid w:val="15012984"/>
    <w:rsid w:val="151A0933"/>
    <w:rsid w:val="151E1392"/>
    <w:rsid w:val="15955E90"/>
    <w:rsid w:val="15A326EC"/>
    <w:rsid w:val="16226CEC"/>
    <w:rsid w:val="1783171A"/>
    <w:rsid w:val="18F3458F"/>
    <w:rsid w:val="194A5B2D"/>
    <w:rsid w:val="19764B84"/>
    <w:rsid w:val="19AE3215"/>
    <w:rsid w:val="19E846A2"/>
    <w:rsid w:val="1AEA7F4E"/>
    <w:rsid w:val="1BBD72EB"/>
    <w:rsid w:val="1BC917BB"/>
    <w:rsid w:val="1BE83838"/>
    <w:rsid w:val="1CF22C1F"/>
    <w:rsid w:val="1D9E7C25"/>
    <w:rsid w:val="1DD141CC"/>
    <w:rsid w:val="1DE166EC"/>
    <w:rsid w:val="1E780B21"/>
    <w:rsid w:val="1EA62A71"/>
    <w:rsid w:val="1EAC0D22"/>
    <w:rsid w:val="1ECC2874"/>
    <w:rsid w:val="1F28315C"/>
    <w:rsid w:val="1F325FCF"/>
    <w:rsid w:val="1F755DB1"/>
    <w:rsid w:val="1FA1089B"/>
    <w:rsid w:val="1FAE59AD"/>
    <w:rsid w:val="1FAF319D"/>
    <w:rsid w:val="1FC74D6B"/>
    <w:rsid w:val="20A405B1"/>
    <w:rsid w:val="20EA51D1"/>
    <w:rsid w:val="210C3C73"/>
    <w:rsid w:val="21334369"/>
    <w:rsid w:val="21563D55"/>
    <w:rsid w:val="219759FB"/>
    <w:rsid w:val="220E2ECD"/>
    <w:rsid w:val="226D2AE5"/>
    <w:rsid w:val="229B58CD"/>
    <w:rsid w:val="22EF4E55"/>
    <w:rsid w:val="22FF56B2"/>
    <w:rsid w:val="23454FED"/>
    <w:rsid w:val="238E1A06"/>
    <w:rsid w:val="23A21C95"/>
    <w:rsid w:val="23B7553F"/>
    <w:rsid w:val="23F82CBF"/>
    <w:rsid w:val="24DE3894"/>
    <w:rsid w:val="254A3DAC"/>
    <w:rsid w:val="25834D51"/>
    <w:rsid w:val="25A42B28"/>
    <w:rsid w:val="25F5640F"/>
    <w:rsid w:val="263E6B13"/>
    <w:rsid w:val="267403B3"/>
    <w:rsid w:val="26A2199E"/>
    <w:rsid w:val="26EF0EBC"/>
    <w:rsid w:val="27343F97"/>
    <w:rsid w:val="27576CF8"/>
    <w:rsid w:val="27F15D9C"/>
    <w:rsid w:val="28074863"/>
    <w:rsid w:val="283613B7"/>
    <w:rsid w:val="28636117"/>
    <w:rsid w:val="28842F9E"/>
    <w:rsid w:val="28AE4A0B"/>
    <w:rsid w:val="28B85369"/>
    <w:rsid w:val="291172B3"/>
    <w:rsid w:val="29205AB8"/>
    <w:rsid w:val="29D20D80"/>
    <w:rsid w:val="29DE44D4"/>
    <w:rsid w:val="2A4C2E6A"/>
    <w:rsid w:val="2A95558C"/>
    <w:rsid w:val="2BF4376B"/>
    <w:rsid w:val="2C03670A"/>
    <w:rsid w:val="2CAE5761"/>
    <w:rsid w:val="2CBC01EB"/>
    <w:rsid w:val="2CD2635D"/>
    <w:rsid w:val="2CED5DE2"/>
    <w:rsid w:val="2CFF5D99"/>
    <w:rsid w:val="2D2C6371"/>
    <w:rsid w:val="2DAE1236"/>
    <w:rsid w:val="2E016B8B"/>
    <w:rsid w:val="2E292A27"/>
    <w:rsid w:val="2E376708"/>
    <w:rsid w:val="2E3F6426"/>
    <w:rsid w:val="2EA843A1"/>
    <w:rsid w:val="2F0444D0"/>
    <w:rsid w:val="2F6B5EE0"/>
    <w:rsid w:val="2FCB3586"/>
    <w:rsid w:val="3037011E"/>
    <w:rsid w:val="3070755C"/>
    <w:rsid w:val="30C25301"/>
    <w:rsid w:val="30C67B9E"/>
    <w:rsid w:val="31951006"/>
    <w:rsid w:val="31D05CA5"/>
    <w:rsid w:val="31E35D70"/>
    <w:rsid w:val="31FF209B"/>
    <w:rsid w:val="322D7613"/>
    <w:rsid w:val="32CF408C"/>
    <w:rsid w:val="3390757C"/>
    <w:rsid w:val="33A14D9B"/>
    <w:rsid w:val="33D66F10"/>
    <w:rsid w:val="33F21B00"/>
    <w:rsid w:val="34170FAE"/>
    <w:rsid w:val="341B1018"/>
    <w:rsid w:val="34246136"/>
    <w:rsid w:val="342E35DF"/>
    <w:rsid w:val="348426A5"/>
    <w:rsid w:val="34D26C89"/>
    <w:rsid w:val="34F72802"/>
    <w:rsid w:val="353648B0"/>
    <w:rsid w:val="35CC606D"/>
    <w:rsid w:val="35FF3780"/>
    <w:rsid w:val="37222096"/>
    <w:rsid w:val="3759692C"/>
    <w:rsid w:val="378B3673"/>
    <w:rsid w:val="38086121"/>
    <w:rsid w:val="38364CBD"/>
    <w:rsid w:val="384F1275"/>
    <w:rsid w:val="38E14718"/>
    <w:rsid w:val="38FA1631"/>
    <w:rsid w:val="3912739D"/>
    <w:rsid w:val="39487A6F"/>
    <w:rsid w:val="3A4F2DF7"/>
    <w:rsid w:val="3A6A78BF"/>
    <w:rsid w:val="3AA90C91"/>
    <w:rsid w:val="3AAC69E7"/>
    <w:rsid w:val="3AD76819"/>
    <w:rsid w:val="3B192045"/>
    <w:rsid w:val="3B5127DE"/>
    <w:rsid w:val="3B55051D"/>
    <w:rsid w:val="3B9A3114"/>
    <w:rsid w:val="3BE528E8"/>
    <w:rsid w:val="3C041E8C"/>
    <w:rsid w:val="3C4B6B70"/>
    <w:rsid w:val="3CB26D83"/>
    <w:rsid w:val="3D2579A9"/>
    <w:rsid w:val="3D6A10DD"/>
    <w:rsid w:val="3D977566"/>
    <w:rsid w:val="3DFE29A8"/>
    <w:rsid w:val="3E4167E0"/>
    <w:rsid w:val="3E5557A6"/>
    <w:rsid w:val="3E5D2F50"/>
    <w:rsid w:val="3E861031"/>
    <w:rsid w:val="3F0973E4"/>
    <w:rsid w:val="3F50730D"/>
    <w:rsid w:val="3F732CAD"/>
    <w:rsid w:val="3FF82C7A"/>
    <w:rsid w:val="402617A3"/>
    <w:rsid w:val="4030015B"/>
    <w:rsid w:val="40361AE0"/>
    <w:rsid w:val="404E28CC"/>
    <w:rsid w:val="40555EB5"/>
    <w:rsid w:val="407A5D67"/>
    <w:rsid w:val="40CD1F40"/>
    <w:rsid w:val="40FD1749"/>
    <w:rsid w:val="415660D0"/>
    <w:rsid w:val="4161233F"/>
    <w:rsid w:val="419D4D8E"/>
    <w:rsid w:val="41C11BE9"/>
    <w:rsid w:val="41FF02C1"/>
    <w:rsid w:val="4214515A"/>
    <w:rsid w:val="422C30D4"/>
    <w:rsid w:val="424E36DD"/>
    <w:rsid w:val="426D77C7"/>
    <w:rsid w:val="427D2AD1"/>
    <w:rsid w:val="42862D66"/>
    <w:rsid w:val="429C4E56"/>
    <w:rsid w:val="42A603BC"/>
    <w:rsid w:val="43057C8A"/>
    <w:rsid w:val="433811B0"/>
    <w:rsid w:val="433B2511"/>
    <w:rsid w:val="437301A1"/>
    <w:rsid w:val="44102511"/>
    <w:rsid w:val="443C7728"/>
    <w:rsid w:val="443D2336"/>
    <w:rsid w:val="444C5CD1"/>
    <w:rsid w:val="44B36F30"/>
    <w:rsid w:val="44CA3B5A"/>
    <w:rsid w:val="450C365B"/>
    <w:rsid w:val="45252BB7"/>
    <w:rsid w:val="45292431"/>
    <w:rsid w:val="45472565"/>
    <w:rsid w:val="455376BB"/>
    <w:rsid w:val="45B369A9"/>
    <w:rsid w:val="45B5174D"/>
    <w:rsid w:val="467455F3"/>
    <w:rsid w:val="46B34489"/>
    <w:rsid w:val="476969BE"/>
    <w:rsid w:val="47794455"/>
    <w:rsid w:val="478B3EE5"/>
    <w:rsid w:val="48471258"/>
    <w:rsid w:val="48935D8C"/>
    <w:rsid w:val="49953762"/>
    <w:rsid w:val="49E66767"/>
    <w:rsid w:val="4A0C4B54"/>
    <w:rsid w:val="4A1E02D0"/>
    <w:rsid w:val="4A2F1DAC"/>
    <w:rsid w:val="4A637FA1"/>
    <w:rsid w:val="4AAE1BCF"/>
    <w:rsid w:val="4B0C1485"/>
    <w:rsid w:val="4B2744F0"/>
    <w:rsid w:val="4B94310A"/>
    <w:rsid w:val="4BA97879"/>
    <w:rsid w:val="4C677C0C"/>
    <w:rsid w:val="4C7A4EC9"/>
    <w:rsid w:val="4C9C2321"/>
    <w:rsid w:val="4CC5508E"/>
    <w:rsid w:val="4CD51A4C"/>
    <w:rsid w:val="4DB1762E"/>
    <w:rsid w:val="4DD827C4"/>
    <w:rsid w:val="4E081BA3"/>
    <w:rsid w:val="4E1223A7"/>
    <w:rsid w:val="4E1F58F6"/>
    <w:rsid w:val="4E203A67"/>
    <w:rsid w:val="4E25305D"/>
    <w:rsid w:val="4E2F02A1"/>
    <w:rsid w:val="4E483B4F"/>
    <w:rsid w:val="4ECE40B5"/>
    <w:rsid w:val="4F7D55DB"/>
    <w:rsid w:val="4FE50941"/>
    <w:rsid w:val="500A299E"/>
    <w:rsid w:val="501101D8"/>
    <w:rsid w:val="508D24D4"/>
    <w:rsid w:val="50C1689E"/>
    <w:rsid w:val="50D911DD"/>
    <w:rsid w:val="50DE1AD8"/>
    <w:rsid w:val="50E53737"/>
    <w:rsid w:val="50F95281"/>
    <w:rsid w:val="511C28A7"/>
    <w:rsid w:val="51432C46"/>
    <w:rsid w:val="52530232"/>
    <w:rsid w:val="5254321E"/>
    <w:rsid w:val="52624EAB"/>
    <w:rsid w:val="52663491"/>
    <w:rsid w:val="528C5CD4"/>
    <w:rsid w:val="52A461EA"/>
    <w:rsid w:val="539811AD"/>
    <w:rsid w:val="53E8704E"/>
    <w:rsid w:val="54266263"/>
    <w:rsid w:val="5484049C"/>
    <w:rsid w:val="549B7E7B"/>
    <w:rsid w:val="54A402E8"/>
    <w:rsid w:val="54BE1FB9"/>
    <w:rsid w:val="54F002E3"/>
    <w:rsid w:val="55343C35"/>
    <w:rsid w:val="55907F3C"/>
    <w:rsid w:val="55BA5175"/>
    <w:rsid w:val="55F33CFE"/>
    <w:rsid w:val="55F9071F"/>
    <w:rsid w:val="5606720A"/>
    <w:rsid w:val="560719C3"/>
    <w:rsid w:val="5640318D"/>
    <w:rsid w:val="564334E7"/>
    <w:rsid w:val="567B46F5"/>
    <w:rsid w:val="568D7462"/>
    <w:rsid w:val="5718422D"/>
    <w:rsid w:val="57501F55"/>
    <w:rsid w:val="577E7371"/>
    <w:rsid w:val="579F61A9"/>
    <w:rsid w:val="58127108"/>
    <w:rsid w:val="58206E3F"/>
    <w:rsid w:val="588F08FA"/>
    <w:rsid w:val="592A2799"/>
    <w:rsid w:val="59936F36"/>
    <w:rsid w:val="5A7B4BA1"/>
    <w:rsid w:val="5AB413F5"/>
    <w:rsid w:val="5B3030F9"/>
    <w:rsid w:val="5B3D21DD"/>
    <w:rsid w:val="5B88725D"/>
    <w:rsid w:val="5B9F2239"/>
    <w:rsid w:val="5C0E3A34"/>
    <w:rsid w:val="5C356899"/>
    <w:rsid w:val="5C951A07"/>
    <w:rsid w:val="5CDB6B2B"/>
    <w:rsid w:val="5D4D4E63"/>
    <w:rsid w:val="5DA77ED9"/>
    <w:rsid w:val="5DD611D9"/>
    <w:rsid w:val="5DEF1CF5"/>
    <w:rsid w:val="5E0500A0"/>
    <w:rsid w:val="5E484261"/>
    <w:rsid w:val="5EA67242"/>
    <w:rsid w:val="5EC947B7"/>
    <w:rsid w:val="5F3F4D92"/>
    <w:rsid w:val="5FC35718"/>
    <w:rsid w:val="60AE1A84"/>
    <w:rsid w:val="61451203"/>
    <w:rsid w:val="61657F96"/>
    <w:rsid w:val="61C845D6"/>
    <w:rsid w:val="61DA1C9B"/>
    <w:rsid w:val="61DC2267"/>
    <w:rsid w:val="61EA20BC"/>
    <w:rsid w:val="61EC483E"/>
    <w:rsid w:val="62653BDF"/>
    <w:rsid w:val="62675D12"/>
    <w:rsid w:val="62BE7432"/>
    <w:rsid w:val="62ED1197"/>
    <w:rsid w:val="634C4693"/>
    <w:rsid w:val="635F1F03"/>
    <w:rsid w:val="636A56B3"/>
    <w:rsid w:val="63A32486"/>
    <w:rsid w:val="63D36139"/>
    <w:rsid w:val="63D4471F"/>
    <w:rsid w:val="642970CC"/>
    <w:rsid w:val="64505B48"/>
    <w:rsid w:val="653E60A6"/>
    <w:rsid w:val="657A4135"/>
    <w:rsid w:val="65CD4F51"/>
    <w:rsid w:val="660C3E06"/>
    <w:rsid w:val="66306D53"/>
    <w:rsid w:val="665948AA"/>
    <w:rsid w:val="669923DF"/>
    <w:rsid w:val="66AF0581"/>
    <w:rsid w:val="67C80F3C"/>
    <w:rsid w:val="67E52CAD"/>
    <w:rsid w:val="67E96292"/>
    <w:rsid w:val="685873C5"/>
    <w:rsid w:val="68704431"/>
    <w:rsid w:val="68A41691"/>
    <w:rsid w:val="68DA4AC9"/>
    <w:rsid w:val="693D2D8D"/>
    <w:rsid w:val="69985150"/>
    <w:rsid w:val="6A553298"/>
    <w:rsid w:val="6A8A0AB8"/>
    <w:rsid w:val="6A9E0F7D"/>
    <w:rsid w:val="6AC552B3"/>
    <w:rsid w:val="6AFC2413"/>
    <w:rsid w:val="6B181113"/>
    <w:rsid w:val="6B962494"/>
    <w:rsid w:val="6BE67850"/>
    <w:rsid w:val="6C03356B"/>
    <w:rsid w:val="6C3A7A22"/>
    <w:rsid w:val="6DF420AA"/>
    <w:rsid w:val="6E5C02C9"/>
    <w:rsid w:val="6E8E12EF"/>
    <w:rsid w:val="6F1E24F8"/>
    <w:rsid w:val="6F255736"/>
    <w:rsid w:val="6F775AB8"/>
    <w:rsid w:val="6F974330"/>
    <w:rsid w:val="70404098"/>
    <w:rsid w:val="70C0050B"/>
    <w:rsid w:val="70DA7783"/>
    <w:rsid w:val="71346F76"/>
    <w:rsid w:val="714744EE"/>
    <w:rsid w:val="722E1B2B"/>
    <w:rsid w:val="72674F59"/>
    <w:rsid w:val="72BF74B0"/>
    <w:rsid w:val="731A01C7"/>
    <w:rsid w:val="73382DAE"/>
    <w:rsid w:val="73BF04CA"/>
    <w:rsid w:val="746E74A6"/>
    <w:rsid w:val="74AC783C"/>
    <w:rsid w:val="763057D5"/>
    <w:rsid w:val="7681674A"/>
    <w:rsid w:val="76BE03F9"/>
    <w:rsid w:val="76F60228"/>
    <w:rsid w:val="774737A1"/>
    <w:rsid w:val="785C5819"/>
    <w:rsid w:val="787228C6"/>
    <w:rsid w:val="78A43670"/>
    <w:rsid w:val="78C328A3"/>
    <w:rsid w:val="79637BED"/>
    <w:rsid w:val="79C3353F"/>
    <w:rsid w:val="7A4A2213"/>
    <w:rsid w:val="7A6042E4"/>
    <w:rsid w:val="7A8713A6"/>
    <w:rsid w:val="7AA3465C"/>
    <w:rsid w:val="7AB913E9"/>
    <w:rsid w:val="7B11404E"/>
    <w:rsid w:val="7BA4233C"/>
    <w:rsid w:val="7BA80B88"/>
    <w:rsid w:val="7BCD339D"/>
    <w:rsid w:val="7BEE296D"/>
    <w:rsid w:val="7C15299D"/>
    <w:rsid w:val="7C761D25"/>
    <w:rsid w:val="7D9B01E7"/>
    <w:rsid w:val="7DF74479"/>
    <w:rsid w:val="7EA90D0F"/>
    <w:rsid w:val="7EC93B4D"/>
    <w:rsid w:val="7FB0205B"/>
    <w:rsid w:val="7FB84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eastAsia="楷体"/>
      <w:b/>
      <w:sz w:val="28"/>
    </w:rPr>
  </w:style>
  <w:style w:type="paragraph" w:styleId="22">
    <w:name w:val="Body Text Indent 3"/>
    <w:basedOn w:val="1"/>
    <w:qFormat/>
    <w:uiPriority w:val="99"/>
    <w:pPr>
      <w:ind w:firstLine="420" w:firstLineChars="200"/>
    </w:pPr>
    <w:rPr>
      <w:rFonts w:eastAsia="楷体_GB2312"/>
    </w:rPr>
  </w:style>
  <w:style w:type="paragraph" w:styleId="23">
    <w:name w:val="toc 2"/>
    <w:basedOn w:val="1"/>
    <w:next w:val="1"/>
    <w:semiHidden/>
    <w:qFormat/>
    <w:uiPriority w:val="0"/>
    <w:pPr>
      <w:ind w:left="420" w:leftChars="200"/>
    </w:pPr>
    <w:rPr>
      <w:szCs w:val="20"/>
    </w:rPr>
  </w:style>
  <w:style w:type="paragraph" w:styleId="24">
    <w:name w:val="Body Text 2"/>
    <w:basedOn w:val="1"/>
    <w:qFormat/>
    <w:uiPriority w:val="99"/>
    <w:pPr>
      <w:spacing w:line="440" w:lineRule="exact"/>
    </w:pPr>
    <w:rPr>
      <w:rFonts w:ascii="楷体_GB2312"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43"/>
    <w:qFormat/>
    <w:uiPriority w:val="0"/>
    <w:pPr>
      <w:spacing w:before="240" w:after="60"/>
      <w:jc w:val="center"/>
      <w:outlineLvl w:val="0"/>
    </w:pPr>
    <w:rPr>
      <w:rFonts w:ascii="Cambria" w:hAnsi="Cambria"/>
      <w:b/>
      <w:bCs/>
      <w:sz w:val="32"/>
      <w:szCs w:val="32"/>
    </w:rPr>
  </w:style>
  <w:style w:type="paragraph" w:styleId="27">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99"/>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34"/>
    <w:pPr>
      <w:ind w:firstLine="420" w:firstLineChars="200"/>
    </w:pPr>
    <w:rPr>
      <w:rFonts w:ascii="Calibri" w:hAnsi="Calibri"/>
      <w:szCs w:val="22"/>
    </w:rPr>
  </w:style>
  <w:style w:type="character" w:customStyle="1" w:styleId="39">
    <w:name w:val="纯文本 Char"/>
    <w:link w:val="16"/>
    <w:qFormat/>
    <w:uiPriority w:val="99"/>
    <w:rPr>
      <w:rFonts w:ascii="宋体" w:hAnsi="Courier New" w:eastAsia="宋体"/>
      <w:kern w:val="2"/>
      <w:sz w:val="21"/>
      <w:lang w:val="en-US" w:eastAsia="zh-CN" w:bidi="ar-SA"/>
    </w:rPr>
  </w:style>
  <w:style w:type="character" w:customStyle="1" w:styleId="40">
    <w:name w:val="param-value"/>
    <w:basedOn w:val="30"/>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6"/>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0"/>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2">
    <w:name w:val="List Paragraph"/>
    <w:basedOn w:val="1"/>
    <w:link w:val="85"/>
    <w:unhideWhenUsed/>
    <w:qFormat/>
    <w:uiPriority w:val="34"/>
    <w:pPr>
      <w:ind w:firstLine="420" w:firstLineChars="200"/>
    </w:pPr>
  </w:style>
  <w:style w:type="paragraph" w:customStyle="1" w:styleId="8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84">
    <w:name w:val="方案正文"/>
    <w:basedOn w:val="1"/>
    <w:qFormat/>
    <w:uiPriority w:val="0"/>
    <w:pPr>
      <w:ind w:firstLine="200" w:firstLineChars="200"/>
      <w:jc w:val="left"/>
    </w:pPr>
    <w:rPr>
      <w:lang w:val="zh-CN"/>
    </w:rPr>
  </w:style>
  <w:style w:type="character" w:customStyle="1" w:styleId="85">
    <w:name w:val="列出段落 Char1"/>
    <w:link w:val="82"/>
    <w:qFormat/>
    <w:uiPriority w:val="34"/>
    <w:rPr>
      <w:kern w:val="2"/>
      <w:sz w:val="21"/>
      <w:szCs w:val="24"/>
    </w:rPr>
  </w:style>
  <w:style w:type="paragraph" w:customStyle="1" w:styleId="86">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JSOU</Company>
  <Pages>1</Pages>
  <Words>2157</Words>
  <Characters>12296</Characters>
  <Lines>102</Lines>
  <Paragraphs>28</Paragraphs>
  <TotalTime>0</TotalTime>
  <ScaleCrop>false</ScaleCrop>
  <LinksUpToDate>false</LinksUpToDate>
  <CharactersWithSpaces>14425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2018-11-13T01:21:00Z</dcterms:created>
  <dc:creator>江苏开放大学招标办</dc:creator>
  <cp:lastModifiedBy>xiaolu1404095211</cp:lastModifiedBy>
  <cp:lastPrinted>2016-07-10T02:09:00Z</cp:lastPrinted>
  <dcterms:modified xsi:type="dcterms:W3CDTF">2019-11-18T02:13:19Z</dcterms:modified>
  <dc:title>江苏开放大学招标文件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