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F13DC">
      <w:pPr>
        <w:widowControl/>
        <w:spacing w:after="156" w:afterLines="50" w:line="400" w:lineRule="exact"/>
        <w:jc w:val="center"/>
        <w:rPr>
          <w:rFonts w:ascii="宋体" w:hAnsi="宋体" w:cs="宋体"/>
          <w:b/>
          <w:kern w:val="0"/>
          <w:sz w:val="28"/>
          <w:szCs w:val="28"/>
        </w:rPr>
      </w:pPr>
      <w:r>
        <w:rPr>
          <w:rFonts w:hint="eastAsia" w:ascii="宋体" w:hAnsi="宋体" w:cs="宋体"/>
          <w:b/>
          <w:kern w:val="0"/>
          <w:sz w:val="28"/>
          <w:szCs w:val="28"/>
        </w:rPr>
        <w:t>工程类采购项目需求主要内容</w:t>
      </w:r>
    </w:p>
    <w:p w14:paraId="2DDE9152">
      <w:pPr>
        <w:pStyle w:val="14"/>
        <w:widowControl/>
        <w:numPr>
          <w:ilvl w:val="0"/>
          <w:numId w:val="1"/>
        </w:numPr>
        <w:spacing w:line="360" w:lineRule="auto"/>
        <w:ind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项目名称及预算金额：</w:t>
      </w:r>
      <w:bookmarkStart w:id="0" w:name="_GoBack"/>
      <w:r>
        <w:rPr>
          <w:rFonts w:hint="eastAsia" w:cs="宋体" w:asciiTheme="minorEastAsia" w:hAnsiTheme="minorEastAsia" w:eastAsiaTheme="minorEastAsia"/>
          <w:b/>
          <w:kern w:val="0"/>
          <w:sz w:val="24"/>
          <w:szCs w:val="24"/>
          <w:lang w:val="en-US" w:eastAsia="zh-CN"/>
        </w:rPr>
        <w:t>江苏开放大学定淮门校区教工餐厅改造出新工程</w:t>
      </w:r>
      <w:bookmarkEnd w:id="0"/>
      <w:r>
        <w:rPr>
          <w:rFonts w:hint="eastAsia" w:cs="Times New Roman" w:asciiTheme="minorEastAsia" w:hAnsiTheme="minorEastAsia" w:eastAsiaTheme="minorEastAsia"/>
          <w:kern w:val="2"/>
          <w:sz w:val="24"/>
          <w:szCs w:val="24"/>
          <w:lang w:val="en-US" w:eastAsia="zh-CN" w:bidi="ar-SA"/>
        </w:rPr>
        <w:t xml:space="preserve"> 100万</w:t>
      </w:r>
    </w:p>
    <w:p w14:paraId="176E2221">
      <w:pPr>
        <w:pStyle w:val="14"/>
        <w:widowControl/>
        <w:numPr>
          <w:ilvl w:val="0"/>
          <w:numId w:val="1"/>
        </w:numPr>
        <w:spacing w:line="360" w:lineRule="auto"/>
        <w:ind w:right="-1191" w:rightChars="-567" w:firstLineChars="0"/>
        <w:jc w:val="left"/>
        <w:rPr>
          <w:rFonts w:cs="宋体" w:asciiTheme="minorEastAsia" w:hAnsiTheme="minorEastAsia" w:eastAsiaTheme="minorEastAsia"/>
          <w:kern w:val="0"/>
          <w:sz w:val="24"/>
          <w:szCs w:val="24"/>
        </w:rPr>
      </w:pPr>
      <w:r>
        <w:rPr>
          <w:rFonts w:hint="eastAsia" w:asciiTheme="minorEastAsia" w:hAnsiTheme="minorEastAsia" w:eastAsiaTheme="minorEastAsia"/>
          <w:b/>
          <w:bCs/>
          <w:sz w:val="24"/>
          <w:szCs w:val="24"/>
        </w:rPr>
        <w:t>项目概况:</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b w:val="0"/>
          <w:bCs/>
          <w:kern w:val="0"/>
          <w:sz w:val="24"/>
          <w:szCs w:val="24"/>
          <w:lang w:val="en-US" w:eastAsia="zh-CN"/>
        </w:rPr>
        <w:t>江苏开放大学定淮门校区教工餐厅改造出新工程</w:t>
      </w:r>
      <w:r>
        <w:rPr>
          <w:rFonts w:hint="eastAsia" w:asciiTheme="minorEastAsia" w:hAnsiTheme="minorEastAsia" w:eastAsiaTheme="minorEastAsia"/>
          <w:bCs/>
          <w:sz w:val="24"/>
          <w:szCs w:val="24"/>
        </w:rPr>
        <w:t>。</w:t>
      </w:r>
    </w:p>
    <w:p w14:paraId="69CEAF84">
      <w:pPr>
        <w:pStyle w:val="14"/>
        <w:widowControl/>
        <w:numPr>
          <w:ilvl w:val="0"/>
          <w:numId w:val="1"/>
        </w:numPr>
        <w:spacing w:line="360" w:lineRule="auto"/>
        <w:ind w:right="-1191" w:rightChars="-567"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资格条件：</w:t>
      </w:r>
    </w:p>
    <w:p w14:paraId="2D4A5F46">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（一）满足《中华人民共和国政府采购法》第二十二条规定：</w:t>
      </w:r>
    </w:p>
    <w:p w14:paraId="6538B62E">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1.供应商应具有独立法人资格（提供法人或者其他组织的营业执照复印件加盖公章）；</w:t>
      </w:r>
    </w:p>
    <w:p w14:paraId="2FB860E3">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2.具有良好的商业信誉和健全的财务会计制度（提供本次采购活动前的财务状况报告复印件加盖公章，法人或者其他组织成立未满一年的可以不提供）；</w:t>
      </w:r>
    </w:p>
    <w:p w14:paraId="34277746">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3.具有履行合同所必需的设备和专业技术能力（提供履行合同所必需的设备和专业技术能力的声明及证明材料复印件加盖公章）；</w:t>
      </w:r>
    </w:p>
    <w:p w14:paraId="409B649B">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4.有依法缴纳税收和社会保障资金的良好记录（提供参加本次采购活动前一年内至少一个月依法缴纳税收和社会保障资金的相关材料复印件加盖公章）；</w:t>
      </w:r>
    </w:p>
    <w:p w14:paraId="509FB785">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5.参加本项目前三年内，在经营活动中没有重大违法记录（提供承诺书并加盖公章）；</w:t>
      </w:r>
    </w:p>
    <w:p w14:paraId="6B32162B">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6.法律、行政法规规定的其他条件。</w:t>
      </w:r>
    </w:p>
    <w:p w14:paraId="503BA045">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（二）落实政府采购政策需满足的资格要求 </w:t>
      </w:r>
    </w:p>
    <w:p w14:paraId="5BEC4AAD">
      <w:pPr>
        <w:widowControl/>
        <w:spacing w:line="360" w:lineRule="auto"/>
        <w:jc w:val="left"/>
        <w:rPr>
          <w:rFonts w:hint="eastAsia"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本项目专门面向中小微企业</w:t>
      </w:r>
    </w:p>
    <w:p w14:paraId="5A32360D">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（三）采购人根据采购项目的特殊要求规定的特定条件</w:t>
      </w:r>
    </w:p>
    <w:p w14:paraId="7CAC26B9">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1.供应商具有施工总承包建筑工程三级(含)以上或者专业承包建筑装修装饰工程二级(含)以上（提供证书复印件加盖供应商公章）；</w:t>
      </w:r>
    </w:p>
    <w:p w14:paraId="4788157C">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2.项目负责人具有注册建造师证建筑工程二级(含)以上资质且具有安全生产考核合格证书（B类）（提供有效的证书复印件加盖公章）； </w:t>
      </w:r>
    </w:p>
    <w:p w14:paraId="758C0E98">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3.供应商必须提供拟投入本工程项目经理与供应商签订的有效劳动合同、社保机构出具的近半年（202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月-2025</w:t>
      </w:r>
      <w:r>
        <w:rPr>
          <w:rFonts w:hint="eastAsia" w:asciiTheme="minorEastAsia" w:hAnsiTheme="minorEastAsia" w:eastAsiaTheme="minorEastAsia"/>
          <w:sz w:val="24"/>
          <w:szCs w:val="24"/>
          <w:lang w:val="en-US" w:eastAsia="zh-CN"/>
        </w:rPr>
        <w:t>年5</w:t>
      </w:r>
      <w:r>
        <w:rPr>
          <w:rFonts w:hint="eastAsia" w:asciiTheme="minorEastAsia" w:hAnsiTheme="minorEastAsia" w:eastAsiaTheme="minorEastAsia"/>
          <w:sz w:val="24"/>
          <w:szCs w:val="24"/>
        </w:rPr>
        <w:t>月）供应商为其缴纳的养老保险缴费证明（需明确缴费月份、个人姓名、缴费单位）材料并加盖社保中心章或社保中心参保缴费证明电子专用章（提供证明材料）。</w:t>
      </w:r>
    </w:p>
    <w:p w14:paraId="3F22A67E">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4.供应商必须提供所报本工程的项目经理无在建工程的承诺书。</w:t>
      </w:r>
    </w:p>
    <w:p w14:paraId="1974C2BB">
      <w:pPr>
        <w:widowControl/>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5.企业具备安全生产条件，并取得安全生产许可证（提供证书复印件加盖供应商公章）。</w:t>
      </w:r>
    </w:p>
    <w:p w14:paraId="672F1CDE">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.拒绝下述供应商参加本次采购活动：</w:t>
      </w:r>
    </w:p>
    <w:p w14:paraId="31E5E3CA">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（1）供应商单位负责人为同一人或者存在直接控股、管理关系的不同供应商，不得参加同一合同项下的政府采购活动。</w:t>
      </w:r>
    </w:p>
    <w:p w14:paraId="2DEEF049">
      <w:pPr>
        <w:widowControl/>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（2）凡为采购项目提供整体设计、规范编制或者项目管理、监理、检测等服务的供应商，不得再参加本项目的采购活动。</w:t>
      </w:r>
    </w:p>
    <w:p w14:paraId="1D36D1B9">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（3）供应商被“信用中国”网站(www.creditchina.gov.cn)、“中国政府采购网”(www.ccgp.gov.cn)  列入失信被执行人、重大税收违法案件当事人名单、政府采购严重违法失信行为记录名单。</w:t>
      </w:r>
    </w:p>
    <w:p w14:paraId="2BCEB971">
      <w:pPr>
        <w:pStyle w:val="14"/>
        <w:numPr>
          <w:ilvl w:val="0"/>
          <w:numId w:val="1"/>
        </w:numPr>
        <w:spacing w:line="360" w:lineRule="auto"/>
        <w:ind w:right="-1191" w:rightChars="-567"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工程内容：</w:t>
      </w:r>
      <w:r>
        <w:rPr>
          <w:rFonts w:hint="eastAsia" w:cs="宋体" w:asciiTheme="minorEastAsia" w:hAnsiTheme="minorEastAsia" w:eastAsiaTheme="minorEastAsia"/>
          <w:kern w:val="0"/>
          <w:sz w:val="24"/>
          <w:szCs w:val="24"/>
          <w:lang w:val="en-US" w:eastAsia="zh-CN"/>
        </w:rPr>
        <w:t>详见工程量清单及图纸</w:t>
      </w:r>
      <w:r>
        <w:rPr>
          <w:rFonts w:hint="eastAsia" w:cs="宋体" w:asciiTheme="minorEastAsia" w:hAnsiTheme="minorEastAsia" w:eastAsiaTheme="minorEastAsia"/>
          <w:kern w:val="0"/>
          <w:sz w:val="24"/>
          <w:szCs w:val="24"/>
        </w:rPr>
        <w:t>。</w:t>
      </w:r>
    </w:p>
    <w:p w14:paraId="77810BD5">
      <w:pPr>
        <w:pStyle w:val="14"/>
        <w:numPr>
          <w:ilvl w:val="0"/>
          <w:numId w:val="1"/>
        </w:numPr>
        <w:spacing w:line="360" w:lineRule="auto"/>
        <w:ind w:right="-1191" w:rightChars="-567" w:firstLineChars="0"/>
        <w:rPr>
          <w:rFonts w:hint="default" w:cs="宋体" w:asciiTheme="minorEastAsia" w:hAnsiTheme="minorEastAsia" w:eastAsiaTheme="minorEastAsia"/>
          <w:b/>
          <w:kern w:val="0"/>
          <w:sz w:val="24"/>
          <w:szCs w:val="24"/>
          <w:lang w:val="en-US" w:eastAsia="zh-CN"/>
        </w:rPr>
      </w:pPr>
      <w:r>
        <w:rPr>
          <w:rFonts w:hint="default" w:cs="宋体" w:asciiTheme="minorEastAsia" w:hAnsiTheme="minorEastAsia" w:eastAsiaTheme="minorEastAsia"/>
          <w:b/>
          <w:kern w:val="0"/>
          <w:sz w:val="24"/>
          <w:szCs w:val="24"/>
          <w:lang w:val="en-US" w:eastAsia="zh-CN"/>
        </w:rPr>
        <w:t>报价要求</w:t>
      </w:r>
    </w:p>
    <w:p w14:paraId="1A911EDE">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本工程采用固定单价合同。</w:t>
      </w:r>
    </w:p>
    <w:p w14:paraId="66EC2B2A">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单价不可调，工程量根据工程施工实际情况，竣工并经审计后按实结算。</w:t>
      </w:r>
    </w:p>
    <w:p w14:paraId="4C074998">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投标人投标报价不得低于其成本价。</w:t>
      </w:r>
    </w:p>
    <w:p w14:paraId="4068AAE6">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工程中标价即为合同价，投标报价应包括人工费、材料费、机械设备费、运输费、施工水电费、验收费、技术服务费（包括技术资料、图纸提供等）、保险费、规费及税金等一切费用（即报价内容均涵盖报价要求之一切费用和伴随服务）。</w:t>
      </w:r>
    </w:p>
    <w:p w14:paraId="534AB28F">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投标人必须按照招标文件规定的报价编制要求、工程量清单格式及要求进行报价，除了工程量清单报价，招标人不再接受其他任何形式的报价及说明（如降价函、报价修正函等）。</w:t>
      </w:r>
    </w:p>
    <w:p w14:paraId="6CEB8351">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供应商应充分考虑所有可能影响到报价的价格及政策等风险因素，根据工程量清单报各项单价，一旦中标，单价不予调整，工程竣工验收后，招标人按照中标人的投标预算单价和实际完成工程量送审，并按审计后总价进行项目结算。</w:t>
      </w:r>
    </w:p>
    <w:p w14:paraId="3E2F5C1D">
      <w:pPr>
        <w:pStyle w:val="14"/>
        <w:numPr>
          <w:ilvl w:val="0"/>
          <w:numId w:val="1"/>
        </w:numPr>
        <w:spacing w:line="360" w:lineRule="auto"/>
        <w:ind w:right="-1191" w:rightChars="-567" w:firstLineChars="0"/>
        <w:rPr>
          <w:rFonts w:hint="default" w:cs="宋体" w:asciiTheme="minorEastAsia" w:hAnsiTheme="minorEastAsia" w:eastAsiaTheme="minorEastAsia"/>
          <w:b/>
          <w:kern w:val="0"/>
          <w:sz w:val="24"/>
          <w:szCs w:val="24"/>
          <w:lang w:val="en-US" w:eastAsia="zh-CN"/>
        </w:rPr>
      </w:pPr>
      <w:r>
        <w:rPr>
          <w:rFonts w:hint="default" w:cs="宋体" w:asciiTheme="minorEastAsia" w:hAnsiTheme="minorEastAsia" w:eastAsiaTheme="minorEastAsia"/>
          <w:b/>
          <w:kern w:val="0"/>
          <w:sz w:val="24"/>
          <w:szCs w:val="24"/>
          <w:lang w:val="en-US" w:eastAsia="zh-CN"/>
        </w:rPr>
        <w:t>其他要求</w:t>
      </w:r>
    </w:p>
    <w:p w14:paraId="038692BC">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本工程项目总工期不超过</w:t>
      </w:r>
      <w:r>
        <w:rPr>
          <w:rFonts w:hint="default" w:asciiTheme="minorEastAsia" w:hAnsiTheme="minorEastAsia" w:eastAsiaTheme="minorEastAsia"/>
          <w:color w:val="FF0000"/>
          <w:sz w:val="24"/>
          <w:szCs w:val="24"/>
        </w:rPr>
        <w:t xml:space="preserve">  30 </w:t>
      </w:r>
      <w:r>
        <w:rPr>
          <w:rFonts w:hint="default" w:asciiTheme="minorEastAsia" w:hAnsiTheme="minorEastAsia" w:eastAsiaTheme="minorEastAsia"/>
          <w:sz w:val="24"/>
          <w:szCs w:val="24"/>
        </w:rPr>
        <w:t>日历天。</w:t>
      </w:r>
    </w:p>
    <w:p w14:paraId="0CCA8E54">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工程质量要求按照国家质量验收标准，综合评定指标达到国家质量验收 合格 标准。若质量验收评定不能达到合格，所造成的一切损失由施工单位承担。</w:t>
      </w:r>
    </w:p>
    <w:p w14:paraId="0231042A">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本工程由投标人自购的设备和材料，所用材料必须符合国家质量验收标准，其规格、技术指标、质量等级详见施工图及工程量清单，同时必须满足相应技术规范或技术标准的要求。如因承包人原因造成的材料复检的费用由承包人承担，由发包人指定检测单位。</w:t>
      </w:r>
    </w:p>
    <w:p w14:paraId="04B61D09">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中标人在收到中标通知书后3个工作日内，须按校方要求提供工程人员安排和施工计划，如不能通过校方可行性审核，需在2个工作日内提供整改方案，如仍未通过审核，校方可取消其中标资格，纳入江苏开放大学“违约供应商名单”，由下一名中标候选人接替。</w:t>
      </w:r>
    </w:p>
    <w:p w14:paraId="1A36799D">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中标人必须按照投标时提供的主要材料品牌及规格施工，不得擅自更换。否则视为违约，一经发现，更换主材处以违约金20万，更换辅材处以违约金10万。同时中标人必须按要求重新采购有关材料，并承担一切费用。相关金额招标人可从合同支付款中直接进行扣除。</w:t>
      </w:r>
    </w:p>
    <w:p w14:paraId="3E133148">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项目进行过程中，校方将进行中期进度和质量检查，如不能达到相关进度和质量要求，校方可酌情扣除费用，也可以根据其改进情况决定是否解除合同，并纳入江苏开放大学“违约供应商名单”，三年之内不能参加学校任何招投标活动，情节严重的，将向省采购中心投诉。</w:t>
      </w:r>
    </w:p>
    <w:p w14:paraId="04C3BD69">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中标人进场后应做好施工现场保护，施工期间不得造成床、柜、门、窗、走廊等设施或区域污损，并把老旧污渍清理干净。否则，验收时不论发现新旧乳胶漆等污渍，每处罚款100元；造成损坏的，在处罚的同时，还应恢复原状或照价赔偿。项目实施完成后，施工方须按校方要求进行细节处理及保洁等工作，达到验收要求后，校方组织正式验收。</w:t>
      </w:r>
    </w:p>
    <w:p w14:paraId="014DAC80">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中标人须在合同约定的施工周期内完成全部施工，并经校方验收完成，若延期交付，每天处以合同价款的1%的违约金。</w:t>
      </w:r>
    </w:p>
    <w:p w14:paraId="513F6CDB">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免费质保期：两年。</w:t>
      </w:r>
    </w:p>
    <w:p w14:paraId="1FF603A8">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质量要求：合格。</w:t>
      </w:r>
    </w:p>
    <w:p w14:paraId="32760922">
      <w:pPr>
        <w:widowControl/>
        <w:spacing w:line="360" w:lineRule="auto"/>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11</w:t>
      </w:r>
      <w:r>
        <w:rPr>
          <w:rFonts w:hint="eastAsia" w:asciiTheme="minorEastAsia" w:hAnsiTheme="minorEastAsia" w:eastAsiaTheme="minorEastAsia"/>
          <w:color w:val="auto"/>
          <w:sz w:val="24"/>
          <w:szCs w:val="24"/>
          <w:highlight w:val="none"/>
          <w:lang w:eastAsia="zh-CN"/>
        </w:rPr>
        <w:t>.</w:t>
      </w:r>
      <w:r>
        <w:rPr>
          <w:rFonts w:hint="default" w:asciiTheme="minorEastAsia" w:hAnsiTheme="minorEastAsia" w:eastAsiaTheme="minorEastAsia"/>
          <w:color w:val="auto"/>
          <w:sz w:val="24"/>
          <w:szCs w:val="24"/>
          <w:highlight w:val="none"/>
        </w:rPr>
        <w:t>中标人在工程验收前需对维修改造工程进行室内空气质量检测，并提供由第三方检测机构出具的合格的检测报告。</w:t>
      </w:r>
    </w:p>
    <w:p w14:paraId="53F5B20C">
      <w:pPr>
        <w:pStyle w:val="14"/>
        <w:numPr>
          <w:ilvl w:val="0"/>
          <w:numId w:val="1"/>
        </w:numPr>
        <w:spacing w:line="360" w:lineRule="auto"/>
        <w:ind w:left="450" w:leftChars="0" w:right="-1191" w:rightChars="-567" w:hanging="450" w:firstLineChars="0"/>
        <w:rPr>
          <w:rFonts w:hint="default" w:cs="宋体" w:asciiTheme="minorEastAsia" w:hAnsiTheme="minorEastAsia" w:eastAsiaTheme="minorEastAsia"/>
          <w:b/>
          <w:kern w:val="0"/>
          <w:sz w:val="24"/>
          <w:szCs w:val="24"/>
          <w:lang w:val="en-US" w:eastAsia="zh-CN"/>
        </w:rPr>
      </w:pPr>
      <w:r>
        <w:rPr>
          <w:rFonts w:hint="default" w:cs="宋体" w:asciiTheme="minorEastAsia" w:hAnsiTheme="minorEastAsia" w:eastAsiaTheme="minorEastAsia"/>
          <w:b/>
          <w:kern w:val="0"/>
          <w:sz w:val="24"/>
          <w:szCs w:val="24"/>
          <w:lang w:val="en-US" w:eastAsia="zh-CN"/>
        </w:rPr>
        <w:t>付款方式</w:t>
      </w:r>
    </w:p>
    <w:p w14:paraId="0D776B3E">
      <w:pPr>
        <w:widowControl/>
        <w:spacing w:line="360" w:lineRule="auto"/>
        <w:jc w:val="left"/>
        <w:rPr>
          <w:rFonts w:hint="default" w:asciiTheme="minorEastAsia" w:hAnsiTheme="minorEastAsia" w:eastAsiaTheme="minorEastAsia"/>
          <w:sz w:val="24"/>
          <w:szCs w:val="24"/>
        </w:rPr>
      </w:pPr>
      <w:r>
        <w:rPr>
          <w:rFonts w:hint="default" w:asciiTheme="minorEastAsia" w:hAnsiTheme="minorEastAsia" w:eastAsiaTheme="minorEastAsia"/>
          <w:sz w:val="24"/>
          <w:szCs w:val="24"/>
        </w:rPr>
        <w:t>双方约定的工程款(进度款)支付的方式和时间：</w:t>
      </w:r>
    </w:p>
    <w:p w14:paraId="3DBDB789">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1.合同签订完成后,支付合同价20%的工程预付款;</w:t>
      </w:r>
    </w:p>
    <w:p w14:paraId="5A95A9FE">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default" w:asciiTheme="minorEastAsia" w:hAnsiTheme="minorEastAsia" w:eastAsiaTheme="minorEastAsia"/>
          <w:sz w:val="24"/>
          <w:szCs w:val="24"/>
        </w:rPr>
        <w:t>工程竣工经甲方验收合格后付</w:t>
      </w:r>
      <w:r>
        <w:rPr>
          <w:rFonts w:hint="eastAsia" w:asciiTheme="minorEastAsia" w:hAnsiTheme="minorEastAsia" w:eastAsiaTheme="minorEastAsia"/>
          <w:sz w:val="24"/>
          <w:szCs w:val="24"/>
          <w:lang w:val="en-US" w:eastAsia="zh-CN"/>
        </w:rPr>
        <w:t>至</w:t>
      </w:r>
      <w:r>
        <w:rPr>
          <w:rFonts w:hint="default" w:asciiTheme="minorEastAsia" w:hAnsiTheme="minorEastAsia" w:eastAsiaTheme="minorEastAsia"/>
          <w:sz w:val="24"/>
          <w:szCs w:val="24"/>
        </w:rPr>
        <w:t>合同价款的60%；</w:t>
      </w:r>
    </w:p>
    <w:p w14:paraId="75E9A484">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default" w:asciiTheme="minorEastAsia" w:hAnsiTheme="minorEastAsia" w:eastAsiaTheme="minorEastAsia"/>
          <w:sz w:val="24"/>
          <w:szCs w:val="24"/>
        </w:rPr>
        <w:t>经审计并根据核减率扣除相应审计费用,留审计价3%作为工程质保金后一次性付清剩余款项；</w:t>
      </w:r>
    </w:p>
    <w:p w14:paraId="0DD47A02">
      <w:pPr>
        <w:widowControl/>
        <w:spacing w:line="360" w:lineRule="auto"/>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default" w:asciiTheme="minorEastAsia" w:hAnsiTheme="minorEastAsia" w:eastAsiaTheme="minorEastAsia"/>
          <w:sz w:val="24"/>
          <w:szCs w:val="24"/>
        </w:rPr>
        <w:t>质保期满后无质量问题，一周内支付剩余3%工程质保金。</w:t>
      </w:r>
    </w:p>
    <w:p w14:paraId="467FD936">
      <w:pPr>
        <w:pStyle w:val="14"/>
        <w:numPr>
          <w:ilvl w:val="0"/>
          <w:numId w:val="1"/>
        </w:numPr>
        <w:spacing w:line="360" w:lineRule="auto"/>
        <w:ind w:right="-1191" w:rightChars="-567" w:firstLineChars="0"/>
        <w:rPr>
          <w:rFonts w:hint="default" w:cs="宋体" w:asciiTheme="minorEastAsia" w:hAnsiTheme="minorEastAsia" w:eastAsiaTheme="minorEastAsia"/>
          <w:b/>
          <w:kern w:val="0"/>
          <w:sz w:val="24"/>
          <w:szCs w:val="24"/>
          <w:lang w:val="en-US" w:eastAsia="zh-CN"/>
        </w:rPr>
      </w:pPr>
      <w:r>
        <w:rPr>
          <w:rFonts w:hint="default" w:cs="宋体" w:asciiTheme="minorEastAsia" w:hAnsiTheme="minorEastAsia" w:eastAsiaTheme="minorEastAsia"/>
          <w:b/>
          <w:kern w:val="0"/>
          <w:sz w:val="24"/>
          <w:szCs w:val="24"/>
          <w:lang w:val="en-US" w:eastAsia="zh-CN"/>
        </w:rPr>
        <w:t>评分标准</w:t>
      </w:r>
    </w:p>
    <w:p w14:paraId="3E6053EF">
      <w:pPr>
        <w:widowControl/>
        <w:spacing w:line="360" w:lineRule="auto"/>
        <w:jc w:val="left"/>
        <w:rPr>
          <w:rFonts w:hint="default" w:asciiTheme="minorEastAsia" w:hAnsiTheme="minorEastAsia" w:eastAsiaTheme="minorEastAsia"/>
          <w:sz w:val="24"/>
          <w:szCs w:val="24"/>
          <w:lang w:val="zh-CN"/>
        </w:rPr>
      </w:pPr>
      <w:r>
        <w:rPr>
          <w:rFonts w:hint="default" w:asciiTheme="minorEastAsia" w:hAnsiTheme="minorEastAsia" w:eastAsiaTheme="minorEastAsia"/>
          <w:sz w:val="24"/>
          <w:szCs w:val="24"/>
          <w:lang w:val="zh-CN"/>
        </w:rPr>
        <w:t>本项目采用综合评分法，评分统计方法采用百分制，将全部评委评分直接进行算术平均，小数点后保留2位。按评审后得分由高到低顺序排列，得分相同的，按投标报价由低到高顺序排列，得分且投标报价相同的，按技术指标优劣顺序排列，由评标委员会确定中标供应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320"/>
        <w:gridCol w:w="5820"/>
        <w:gridCol w:w="613"/>
      </w:tblGrid>
      <w:tr w14:paraId="32E6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69" w:type="dxa"/>
            <w:vAlign w:val="center"/>
          </w:tcPr>
          <w:p w14:paraId="60F4D3C1">
            <w:pPr>
              <w:pStyle w:val="17"/>
              <w:adjustRightInd/>
              <w:spacing w:line="360" w:lineRule="auto"/>
              <w:contextualSpacing/>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序号</w:t>
            </w:r>
          </w:p>
        </w:tc>
        <w:tc>
          <w:tcPr>
            <w:tcW w:w="1320" w:type="dxa"/>
            <w:vAlign w:val="center"/>
          </w:tcPr>
          <w:p w14:paraId="33344C0B">
            <w:pPr>
              <w:pStyle w:val="17"/>
              <w:adjustRightInd/>
              <w:spacing w:line="360" w:lineRule="auto"/>
              <w:contextualSpacing/>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评分因素</w:t>
            </w:r>
          </w:p>
        </w:tc>
        <w:tc>
          <w:tcPr>
            <w:tcW w:w="5820" w:type="dxa"/>
            <w:vAlign w:val="center"/>
          </w:tcPr>
          <w:p w14:paraId="21A01DC6">
            <w:pPr>
              <w:pStyle w:val="17"/>
              <w:adjustRightInd/>
              <w:spacing w:line="360" w:lineRule="auto"/>
              <w:contextualSpacing/>
              <w:jc w:val="center"/>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评审标准</w:t>
            </w:r>
          </w:p>
        </w:tc>
        <w:tc>
          <w:tcPr>
            <w:tcW w:w="0" w:type="auto"/>
            <w:vAlign w:val="center"/>
          </w:tcPr>
          <w:p w14:paraId="6D5824EC">
            <w:pPr>
              <w:pStyle w:val="17"/>
              <w:adjustRightInd/>
              <w:spacing w:line="360" w:lineRule="auto"/>
              <w:contextualSpacing/>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分值</w:t>
            </w:r>
          </w:p>
        </w:tc>
      </w:tr>
      <w:tr w14:paraId="5D40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BA036B3">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p>
        </w:tc>
        <w:tc>
          <w:tcPr>
            <w:tcW w:w="1320" w:type="dxa"/>
            <w:vAlign w:val="center"/>
          </w:tcPr>
          <w:p w14:paraId="15B407E5">
            <w:pPr>
              <w:pStyle w:val="17"/>
              <w:adjustRightInd/>
              <w:spacing w:line="360" w:lineRule="auto"/>
              <w:contextualSpacing/>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投标报价</w:t>
            </w:r>
          </w:p>
        </w:tc>
        <w:tc>
          <w:tcPr>
            <w:tcW w:w="5820" w:type="dxa"/>
            <w:vAlign w:val="center"/>
          </w:tcPr>
          <w:p w14:paraId="46164B85">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采用低价优先法计算，即满足投标文件要求且投标价格最低的投标报价为评标基准价，其价格分为满分。</w:t>
            </w:r>
          </w:p>
          <w:p w14:paraId="109CDEE5">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其他投标人的价格分统一按照下列公式计算:投标报价得分=(评标基准价/投标报价)×30（小数点保留两位）</w:t>
            </w:r>
          </w:p>
        </w:tc>
        <w:tc>
          <w:tcPr>
            <w:tcW w:w="0" w:type="auto"/>
            <w:vAlign w:val="center"/>
          </w:tcPr>
          <w:p w14:paraId="2675089C">
            <w:pPr>
              <w:pStyle w:val="17"/>
              <w:adjustRightInd/>
              <w:spacing w:line="360" w:lineRule="auto"/>
              <w:contextualSpacing/>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30</w:t>
            </w:r>
          </w:p>
        </w:tc>
      </w:tr>
      <w:tr w14:paraId="0AF0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vAlign w:val="center"/>
          </w:tcPr>
          <w:p w14:paraId="4FA0EE2D">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w:t>
            </w:r>
          </w:p>
        </w:tc>
        <w:tc>
          <w:tcPr>
            <w:tcW w:w="1320" w:type="dxa"/>
            <w:vAlign w:val="center"/>
          </w:tcPr>
          <w:p w14:paraId="78521242">
            <w:pPr>
              <w:pStyle w:val="17"/>
              <w:adjustRightInd/>
              <w:spacing w:line="360" w:lineRule="auto"/>
              <w:contextualSpacing/>
              <w:jc w:val="center"/>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商务标</w:t>
            </w:r>
          </w:p>
        </w:tc>
        <w:tc>
          <w:tcPr>
            <w:tcW w:w="5820" w:type="dxa"/>
            <w:vAlign w:val="center"/>
          </w:tcPr>
          <w:p w14:paraId="2EAA51D6">
            <w:pPr>
              <w:pStyle w:val="17"/>
              <w:keepNext w:val="0"/>
              <w:keepLines w:val="0"/>
              <w:pageBreakBefore w:val="0"/>
              <w:widowControl w:val="0"/>
              <w:kinsoku/>
              <w:wordWrap/>
              <w:overflowPunct/>
              <w:topLinePunct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（1）业绩（</w:t>
            </w:r>
            <w:r>
              <w:rPr>
                <w:rFonts w:hint="default" w:ascii="Times New Roman" w:hAnsi="Times New Roman" w:eastAsia="方正仿宋_GBK" w:cs="Times New Roman"/>
                <w:color w:val="auto"/>
                <w:kern w:val="2"/>
                <w:sz w:val="24"/>
                <w:szCs w:val="24"/>
                <w:lang w:val="en-US" w:eastAsia="zh-CN"/>
              </w:rPr>
              <w:t>10</w:t>
            </w:r>
            <w:r>
              <w:rPr>
                <w:rFonts w:hint="default" w:ascii="Times New Roman" w:hAnsi="Times New Roman" w:eastAsia="方正仿宋_GBK" w:cs="Times New Roman"/>
                <w:color w:val="auto"/>
                <w:kern w:val="2"/>
                <w:sz w:val="24"/>
                <w:szCs w:val="24"/>
                <w:lang w:val="zh-CN"/>
              </w:rPr>
              <w:t>分）</w:t>
            </w:r>
          </w:p>
          <w:p w14:paraId="5C05DF53">
            <w:pPr>
              <w:pStyle w:val="17"/>
              <w:keepNext w:val="0"/>
              <w:keepLines w:val="0"/>
              <w:pageBreakBefore w:val="0"/>
              <w:widowControl w:val="0"/>
              <w:kinsoku/>
              <w:wordWrap/>
              <w:overflowPunct/>
              <w:topLinePunct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投标人自202</w:t>
            </w:r>
            <w:r>
              <w:rPr>
                <w:rFonts w:hint="default" w:ascii="Times New Roman" w:hAnsi="Times New Roman" w:eastAsia="方正仿宋_GBK" w:cs="Times New Roman"/>
                <w:color w:val="auto"/>
                <w:kern w:val="2"/>
                <w:sz w:val="24"/>
                <w:szCs w:val="24"/>
                <w:lang w:val="en-US" w:eastAsia="zh-CN"/>
              </w:rPr>
              <w:t>2</w:t>
            </w:r>
            <w:r>
              <w:rPr>
                <w:rFonts w:hint="default" w:ascii="Times New Roman" w:hAnsi="Times New Roman" w:eastAsia="方正仿宋_GBK" w:cs="Times New Roman"/>
                <w:color w:val="auto"/>
                <w:kern w:val="2"/>
                <w:sz w:val="24"/>
                <w:szCs w:val="24"/>
                <w:lang w:val="zh-CN"/>
              </w:rPr>
              <w:t>年1月1日以来，具有类似工程</w:t>
            </w:r>
            <w:r>
              <w:rPr>
                <w:rFonts w:hint="eastAsia" w:ascii="Times New Roman" w:eastAsia="方正仿宋_GBK" w:cs="Times New Roman"/>
                <w:color w:val="auto"/>
                <w:kern w:val="2"/>
                <w:sz w:val="24"/>
                <w:szCs w:val="24"/>
                <w:lang w:val="en-US" w:eastAsia="zh-CN"/>
              </w:rPr>
              <w:t>出新</w:t>
            </w:r>
            <w:r>
              <w:rPr>
                <w:rFonts w:hint="default" w:ascii="Times New Roman" w:hAnsi="Times New Roman" w:eastAsia="方正仿宋_GBK" w:cs="Times New Roman"/>
                <w:color w:val="auto"/>
                <w:kern w:val="2"/>
                <w:sz w:val="24"/>
                <w:szCs w:val="24"/>
                <w:lang w:val="zh-CN"/>
              </w:rPr>
              <w:t>改造的项目业绩的，每提供1个得的5分，满分</w:t>
            </w:r>
            <w:r>
              <w:rPr>
                <w:rFonts w:hint="default" w:ascii="Times New Roman" w:hAnsi="Times New Roman" w:eastAsia="方正仿宋_GBK" w:cs="Times New Roman"/>
                <w:color w:val="auto"/>
                <w:kern w:val="2"/>
                <w:sz w:val="24"/>
                <w:szCs w:val="24"/>
                <w:lang w:val="en-US" w:eastAsia="zh-CN"/>
              </w:rPr>
              <w:t>10分</w:t>
            </w:r>
            <w:r>
              <w:rPr>
                <w:rFonts w:hint="default" w:ascii="Times New Roman" w:hAnsi="Times New Roman" w:eastAsia="方正仿宋_GBK" w:cs="Times New Roman"/>
                <w:color w:val="auto"/>
                <w:kern w:val="2"/>
                <w:sz w:val="24"/>
                <w:szCs w:val="24"/>
                <w:lang w:val="zh-CN"/>
              </w:rPr>
              <w:t>。（提供合同及竣工验收证明等相关证明材料，未提供或提供不全的不得分）</w:t>
            </w:r>
          </w:p>
          <w:p w14:paraId="4AC0C66C">
            <w:pPr>
              <w:pStyle w:val="17"/>
              <w:keepNext w:val="0"/>
              <w:keepLines w:val="0"/>
              <w:pageBreakBefore w:val="0"/>
              <w:widowControl w:val="0"/>
              <w:kinsoku/>
              <w:wordWrap/>
              <w:overflowPunct/>
              <w:topLinePunct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eastAsia" w:ascii="Times New Roman" w:eastAsia="方正仿宋_GBK" w:cs="Times New Roman"/>
                <w:color w:val="auto"/>
                <w:kern w:val="2"/>
                <w:sz w:val="24"/>
                <w:szCs w:val="24"/>
                <w:lang w:val="zh-CN"/>
              </w:rPr>
              <w:t>（</w:t>
            </w:r>
            <w:r>
              <w:rPr>
                <w:rFonts w:hint="eastAsia" w:ascii="Times New Roman" w:eastAsia="方正仿宋_GBK" w:cs="Times New Roman"/>
                <w:color w:val="auto"/>
                <w:kern w:val="2"/>
                <w:sz w:val="24"/>
                <w:szCs w:val="24"/>
                <w:lang w:val="en-US" w:eastAsia="zh-CN"/>
              </w:rPr>
              <w:t>2</w:t>
            </w:r>
            <w:r>
              <w:rPr>
                <w:rFonts w:hint="eastAsia" w:ascii="Times New Roman" w:eastAsia="方正仿宋_GBK" w:cs="Times New Roman"/>
                <w:color w:val="auto"/>
                <w:kern w:val="2"/>
                <w:sz w:val="24"/>
                <w:szCs w:val="24"/>
                <w:lang w:val="zh-CN"/>
              </w:rPr>
              <w:t>）</w:t>
            </w:r>
            <w:r>
              <w:rPr>
                <w:rFonts w:hint="default" w:ascii="Times New Roman" w:hAnsi="Times New Roman" w:eastAsia="方正仿宋_GBK" w:cs="Times New Roman"/>
                <w:color w:val="auto"/>
                <w:kern w:val="2"/>
                <w:sz w:val="24"/>
                <w:szCs w:val="24"/>
                <w:lang w:val="zh-CN"/>
              </w:rPr>
              <w:t>人员（10分）</w:t>
            </w:r>
          </w:p>
          <w:p w14:paraId="458022B0">
            <w:pPr>
              <w:pStyle w:val="17"/>
              <w:keepNext w:val="0"/>
              <w:keepLines w:val="0"/>
              <w:pageBreakBefore w:val="0"/>
              <w:widowControl w:val="0"/>
              <w:kinsoku/>
              <w:wordWrap/>
              <w:overflowPunct/>
              <w:topLinePunct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评委根据供应商拟配备的项目组人员进行评分：</w:t>
            </w:r>
          </w:p>
          <w:p w14:paraId="5169A22F">
            <w:pPr>
              <w:pStyle w:val="17"/>
              <w:keepNext w:val="0"/>
              <w:keepLines w:val="0"/>
              <w:pageBreakBefore w:val="0"/>
              <w:widowControl w:val="0"/>
              <w:kinsoku/>
              <w:wordWrap/>
              <w:overflowPunct/>
              <w:topLinePunct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项目负责人具备中级及以上职称的得4分；</w:t>
            </w:r>
          </w:p>
          <w:p w14:paraId="5AD82982">
            <w:pPr>
              <w:pStyle w:val="17"/>
              <w:keepNext w:val="0"/>
              <w:keepLines w:val="0"/>
              <w:pageBreakBefore w:val="0"/>
              <w:widowControl w:val="0"/>
              <w:kinsoku/>
              <w:wordWrap/>
              <w:overflowPunct/>
              <w:topLinePunct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其他施工人员（除项目负责人外）具有初级及以上职称，每提供一名得2分，满分 6 分。</w:t>
            </w:r>
          </w:p>
          <w:p w14:paraId="0D349576">
            <w:pPr>
              <w:pStyle w:val="17"/>
              <w:keepNext w:val="0"/>
              <w:keepLines w:val="0"/>
              <w:pageBreakBefore w:val="0"/>
              <w:widowControl w:val="0"/>
              <w:kinsoku/>
              <w:wordWrap/>
              <w:overflowPunct/>
              <w:topLinePunct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（提供人员有效身份证、职称证书或学历证书和近六个月（至少一个月）内在本单位交纳社保证明复印件，未提供或提供不全的不得分）。</w:t>
            </w:r>
          </w:p>
        </w:tc>
        <w:tc>
          <w:tcPr>
            <w:tcW w:w="0" w:type="auto"/>
            <w:vAlign w:val="center"/>
          </w:tcPr>
          <w:p w14:paraId="78D6A6DD">
            <w:pPr>
              <w:pStyle w:val="17"/>
              <w:adjustRightInd/>
              <w:spacing w:line="360" w:lineRule="auto"/>
              <w:contextualSpacing/>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20</w:t>
            </w:r>
          </w:p>
        </w:tc>
      </w:tr>
      <w:tr w14:paraId="6111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5DF4520">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w:t>
            </w:r>
          </w:p>
        </w:tc>
        <w:tc>
          <w:tcPr>
            <w:tcW w:w="1320" w:type="dxa"/>
            <w:vAlign w:val="center"/>
          </w:tcPr>
          <w:p w14:paraId="21731F28">
            <w:pPr>
              <w:pStyle w:val="17"/>
              <w:adjustRightInd/>
              <w:spacing w:line="360" w:lineRule="auto"/>
              <w:contextualSpacing/>
              <w:jc w:val="center"/>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技术标</w:t>
            </w:r>
          </w:p>
        </w:tc>
        <w:tc>
          <w:tcPr>
            <w:tcW w:w="5820" w:type="dxa"/>
            <w:vAlign w:val="center"/>
          </w:tcPr>
          <w:p w14:paraId="62C486DE">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（1）总体概述</w:t>
            </w:r>
          </w:p>
          <w:p w14:paraId="4D41964A">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总体概述：施工组织总体设想、方案针对性、符合本项目特征打分；</w:t>
            </w:r>
          </w:p>
          <w:p w14:paraId="02A58ED3">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（方案可行，针对性强得</w:t>
            </w:r>
            <w:r>
              <w:rPr>
                <w:rFonts w:hint="default" w:ascii="Times New Roman" w:hAnsi="Times New Roman" w:eastAsia="方正仿宋_GBK" w:cs="Times New Roman"/>
                <w:color w:val="auto"/>
                <w:kern w:val="2"/>
                <w:sz w:val="24"/>
                <w:szCs w:val="24"/>
                <w:lang w:val="en-US" w:eastAsia="zh-CN"/>
              </w:rPr>
              <w:t>15</w:t>
            </w:r>
            <w:r>
              <w:rPr>
                <w:rFonts w:hint="default" w:ascii="Times New Roman" w:hAnsi="Times New Roman" w:eastAsia="方正仿宋_GBK" w:cs="Times New Roman"/>
                <w:color w:val="auto"/>
                <w:kern w:val="2"/>
                <w:sz w:val="24"/>
                <w:szCs w:val="24"/>
                <w:lang w:val="zh-CN"/>
              </w:rPr>
              <w:t>分，方案基本可行，针对性一般得</w:t>
            </w:r>
            <w:r>
              <w:rPr>
                <w:rFonts w:hint="default" w:ascii="Times New Roman" w:hAnsi="Times New Roman" w:eastAsia="方正仿宋_GBK" w:cs="Times New Roman"/>
                <w:color w:val="auto"/>
                <w:kern w:val="2"/>
                <w:sz w:val="24"/>
                <w:szCs w:val="24"/>
                <w:lang w:val="en-US" w:eastAsia="zh-CN"/>
              </w:rPr>
              <w:t>8</w:t>
            </w:r>
            <w:r>
              <w:rPr>
                <w:rFonts w:hint="default" w:ascii="Times New Roman" w:hAnsi="Times New Roman" w:eastAsia="方正仿宋_GBK" w:cs="Times New Roman"/>
                <w:color w:val="auto"/>
                <w:kern w:val="2"/>
                <w:sz w:val="24"/>
                <w:szCs w:val="24"/>
                <w:lang w:val="zh-CN"/>
              </w:rPr>
              <w:t>分，方案缺乏合理性，针对性差得4分，无：0分；满分</w:t>
            </w:r>
            <w:r>
              <w:rPr>
                <w:rFonts w:hint="default" w:ascii="Times New Roman" w:hAnsi="Times New Roman" w:eastAsia="方正仿宋_GBK" w:cs="Times New Roman"/>
                <w:color w:val="auto"/>
                <w:kern w:val="2"/>
                <w:sz w:val="24"/>
                <w:szCs w:val="24"/>
                <w:lang w:val="en-US" w:eastAsia="zh-CN"/>
              </w:rPr>
              <w:t>15</w:t>
            </w:r>
            <w:r>
              <w:rPr>
                <w:rFonts w:hint="default" w:ascii="Times New Roman" w:hAnsi="Times New Roman" w:eastAsia="方正仿宋_GBK" w:cs="Times New Roman"/>
                <w:color w:val="auto"/>
                <w:kern w:val="2"/>
                <w:sz w:val="24"/>
                <w:szCs w:val="24"/>
                <w:lang w:val="zh-CN"/>
              </w:rPr>
              <w:t>分。）</w:t>
            </w:r>
            <w:r>
              <w:rPr>
                <w:rFonts w:hint="default" w:ascii="Times New Roman" w:hAnsi="Times New Roman" w:eastAsia="方正仿宋_GBK" w:cs="Times New Roman"/>
                <w:color w:val="auto"/>
                <w:kern w:val="2"/>
                <w:sz w:val="24"/>
                <w:szCs w:val="24"/>
                <w:lang w:val="zh-CN"/>
              </w:rPr>
              <w:br w:type="textWrapping"/>
            </w:r>
            <w:r>
              <w:rPr>
                <w:rFonts w:hint="eastAsia" w:ascii="Times New Roman" w:eastAsia="方正仿宋_GBK" w:cs="Times New Roman"/>
                <w:color w:val="auto"/>
                <w:kern w:val="2"/>
                <w:sz w:val="24"/>
                <w:szCs w:val="24"/>
                <w:lang w:val="en-US" w:eastAsia="zh-CN"/>
              </w:rPr>
              <w:t xml:space="preserve">  </w:t>
            </w:r>
            <w:r>
              <w:rPr>
                <w:rFonts w:hint="default" w:ascii="Times New Roman" w:hAnsi="Times New Roman" w:eastAsia="方正仿宋_GBK" w:cs="Times New Roman"/>
                <w:color w:val="auto"/>
                <w:kern w:val="2"/>
                <w:sz w:val="24"/>
                <w:szCs w:val="24"/>
                <w:lang w:val="zh-CN"/>
              </w:rPr>
              <w:t>（2）进度计划</w:t>
            </w:r>
          </w:p>
          <w:p w14:paraId="4AA0BC48">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根据施工进度计划和各阶段进度的保证措施的合理可行性打分。</w:t>
            </w:r>
          </w:p>
          <w:p w14:paraId="4375E4D3">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（制定计划和保证措施合理可行得10分，制定计划和保证措施基本可行得7分，制定计划和保证措施缺乏合理性得4分，无：0分；满分10分。）</w:t>
            </w:r>
            <w:r>
              <w:rPr>
                <w:rFonts w:hint="default" w:ascii="Times New Roman" w:hAnsi="Times New Roman" w:eastAsia="方正仿宋_GBK" w:cs="Times New Roman"/>
                <w:color w:val="auto"/>
                <w:kern w:val="2"/>
                <w:sz w:val="24"/>
                <w:szCs w:val="24"/>
                <w:lang w:val="zh-CN"/>
              </w:rPr>
              <w:br w:type="textWrapping"/>
            </w:r>
            <w:r>
              <w:rPr>
                <w:rFonts w:hint="eastAsia" w:ascii="Times New Roman" w:eastAsia="方正仿宋_GBK" w:cs="Times New Roman"/>
                <w:color w:val="auto"/>
                <w:kern w:val="2"/>
                <w:sz w:val="24"/>
                <w:szCs w:val="24"/>
                <w:lang w:val="en-US" w:eastAsia="zh-CN"/>
              </w:rPr>
              <w:t xml:space="preserve">  </w:t>
            </w:r>
            <w:r>
              <w:rPr>
                <w:rFonts w:hint="default" w:ascii="Times New Roman" w:hAnsi="Times New Roman" w:eastAsia="方正仿宋_GBK" w:cs="Times New Roman"/>
                <w:color w:val="auto"/>
                <w:kern w:val="2"/>
                <w:sz w:val="24"/>
                <w:szCs w:val="24"/>
                <w:lang w:val="zh-CN"/>
              </w:rPr>
              <w:t>（3）安全文明施工及环境保护措施</w:t>
            </w:r>
          </w:p>
          <w:p w14:paraId="50DB5B3A">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根据安全文明施工及环境保护等方案的合理可行性打分。</w:t>
            </w:r>
          </w:p>
          <w:p w14:paraId="7E18A376">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（保证措施合理可行得10分，保证措施基本可行得7分，保证措施缺乏合理性得4分，无：0分；满分10分。）</w:t>
            </w:r>
            <w:r>
              <w:rPr>
                <w:rFonts w:hint="default" w:ascii="Times New Roman" w:hAnsi="Times New Roman" w:eastAsia="方正仿宋_GBK" w:cs="Times New Roman"/>
                <w:color w:val="auto"/>
                <w:kern w:val="2"/>
                <w:sz w:val="24"/>
                <w:szCs w:val="24"/>
                <w:lang w:val="zh-CN"/>
              </w:rPr>
              <w:br w:type="textWrapping"/>
            </w:r>
            <w:r>
              <w:rPr>
                <w:rFonts w:hint="eastAsia" w:ascii="Times New Roman" w:eastAsia="方正仿宋_GBK" w:cs="Times New Roman"/>
                <w:color w:val="auto"/>
                <w:kern w:val="2"/>
                <w:sz w:val="24"/>
                <w:szCs w:val="24"/>
                <w:lang w:val="en-US" w:eastAsia="zh-CN"/>
              </w:rPr>
              <w:t xml:space="preserve">  </w:t>
            </w:r>
            <w:r>
              <w:rPr>
                <w:rFonts w:hint="default" w:ascii="Times New Roman" w:hAnsi="Times New Roman" w:eastAsia="方正仿宋_GBK" w:cs="Times New Roman"/>
                <w:color w:val="auto"/>
                <w:kern w:val="2"/>
                <w:sz w:val="24"/>
                <w:szCs w:val="24"/>
                <w:lang w:val="zh-CN"/>
              </w:rPr>
              <w:t>（4）施工质量</w:t>
            </w:r>
          </w:p>
          <w:p w14:paraId="200362A1">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根据施工质量的保证措施的合理可行性打分。</w:t>
            </w:r>
          </w:p>
          <w:p w14:paraId="71C6A6AC">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（方案可行，针对性强得10分，方案基本可行，针对性一般得7分，方案缺乏合理性，针对性差得4分，无：0分；满分10分。）</w:t>
            </w:r>
            <w:r>
              <w:rPr>
                <w:rFonts w:hint="default" w:ascii="Times New Roman" w:hAnsi="Times New Roman" w:eastAsia="方正仿宋_GBK" w:cs="Times New Roman"/>
                <w:color w:val="auto"/>
                <w:kern w:val="2"/>
                <w:sz w:val="24"/>
                <w:szCs w:val="24"/>
                <w:lang w:val="zh-CN"/>
              </w:rPr>
              <w:br w:type="textWrapping"/>
            </w:r>
            <w:r>
              <w:rPr>
                <w:rFonts w:hint="eastAsia" w:ascii="Times New Roman" w:eastAsia="方正仿宋_GBK" w:cs="Times New Roman"/>
                <w:color w:val="auto"/>
                <w:kern w:val="2"/>
                <w:sz w:val="24"/>
                <w:szCs w:val="24"/>
                <w:lang w:val="en-US" w:eastAsia="zh-CN"/>
              </w:rPr>
              <w:t xml:space="preserve">  </w:t>
            </w:r>
            <w:r>
              <w:rPr>
                <w:rFonts w:hint="default" w:ascii="Times New Roman" w:hAnsi="Times New Roman" w:eastAsia="方正仿宋_GBK" w:cs="Times New Roman"/>
                <w:color w:val="auto"/>
                <w:kern w:val="2"/>
                <w:sz w:val="24"/>
                <w:szCs w:val="24"/>
                <w:lang w:val="zh-CN"/>
              </w:rPr>
              <w:t>（5）雨季施工、已有设施、管线的加固、保护等特殊情况下的施工措施；</w:t>
            </w:r>
          </w:p>
          <w:p w14:paraId="5C540B5E">
            <w:pPr>
              <w:pStyle w:val="17"/>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contextualSpacing/>
              <w:textAlignment w:val="auto"/>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（保证措施合理可行得5分，保证措施基本可行得3分，保证措施缺乏合理性得1分，无：0分；满分5分。）</w:t>
            </w:r>
          </w:p>
        </w:tc>
        <w:tc>
          <w:tcPr>
            <w:tcW w:w="0" w:type="auto"/>
            <w:vAlign w:val="center"/>
          </w:tcPr>
          <w:p w14:paraId="0ABD72EE">
            <w:pPr>
              <w:pStyle w:val="17"/>
              <w:adjustRightInd/>
              <w:spacing w:line="360" w:lineRule="auto"/>
              <w:contextualSpacing/>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50</w:t>
            </w:r>
          </w:p>
        </w:tc>
      </w:tr>
      <w:tr w14:paraId="0EB9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vAlign w:val="center"/>
          </w:tcPr>
          <w:p w14:paraId="41E2BB01">
            <w:pPr>
              <w:spacing w:line="360" w:lineRule="auto"/>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p>
        </w:tc>
        <w:tc>
          <w:tcPr>
            <w:tcW w:w="1320" w:type="dxa"/>
            <w:vAlign w:val="center"/>
          </w:tcPr>
          <w:p w14:paraId="0E5622AD">
            <w:pPr>
              <w:pStyle w:val="17"/>
              <w:adjustRightInd/>
              <w:spacing w:line="360" w:lineRule="auto"/>
              <w:contextualSpacing/>
              <w:jc w:val="center"/>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合计</w:t>
            </w:r>
          </w:p>
        </w:tc>
        <w:tc>
          <w:tcPr>
            <w:tcW w:w="5820" w:type="dxa"/>
            <w:vAlign w:val="center"/>
          </w:tcPr>
          <w:p w14:paraId="2656996D">
            <w:pPr>
              <w:pStyle w:val="17"/>
              <w:adjustRightInd/>
              <w:spacing w:line="360" w:lineRule="auto"/>
              <w:contextualSpacing/>
              <w:jc w:val="center"/>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分值合计</w:t>
            </w:r>
          </w:p>
        </w:tc>
        <w:tc>
          <w:tcPr>
            <w:tcW w:w="0" w:type="auto"/>
            <w:vAlign w:val="center"/>
          </w:tcPr>
          <w:p w14:paraId="4B400585">
            <w:pPr>
              <w:pStyle w:val="17"/>
              <w:adjustRightInd/>
              <w:spacing w:line="360" w:lineRule="auto"/>
              <w:contextualSpacing/>
              <w:rPr>
                <w:rFonts w:hint="default" w:ascii="Times New Roman" w:hAnsi="Times New Roman" w:eastAsia="方正仿宋_GBK" w:cs="Times New Roman"/>
                <w:color w:val="auto"/>
                <w:kern w:val="2"/>
                <w:sz w:val="24"/>
                <w:szCs w:val="24"/>
                <w:lang w:val="zh-CN"/>
              </w:rPr>
            </w:pPr>
            <w:r>
              <w:rPr>
                <w:rFonts w:hint="default" w:ascii="Times New Roman" w:hAnsi="Times New Roman" w:eastAsia="方正仿宋_GBK" w:cs="Times New Roman"/>
                <w:color w:val="auto"/>
                <w:kern w:val="2"/>
                <w:sz w:val="24"/>
                <w:szCs w:val="24"/>
                <w:lang w:val="zh-CN"/>
              </w:rPr>
              <w:t>100</w:t>
            </w:r>
          </w:p>
        </w:tc>
      </w:tr>
    </w:tbl>
    <w:p w14:paraId="2DE2CAD1">
      <w:pPr>
        <w:widowControl/>
        <w:spacing w:line="360" w:lineRule="auto"/>
        <w:jc w:val="left"/>
        <w:rPr>
          <w:rFonts w:hint="default" w:ascii="Times New Roman" w:hAnsi="Times New Roman" w:eastAsia="方正仿宋_GBK" w:cs="Times New Roman"/>
          <w:color w:val="auto"/>
          <w:szCs w:val="21"/>
        </w:rPr>
      </w:pPr>
    </w:p>
    <w:p w14:paraId="60D21FC7">
      <w:pPr>
        <w:widowControl/>
        <w:spacing w:line="360" w:lineRule="auto"/>
        <w:jc w:val="lef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B580B"/>
    <w:multiLevelType w:val="multilevel"/>
    <w:tmpl w:val="2ECB580B"/>
    <w:lvl w:ilvl="0" w:tentative="0">
      <w:start w:val="1"/>
      <w:numFmt w:val="japaneseCounting"/>
      <w:lvlText w:val="%1、"/>
      <w:lvlJc w:val="left"/>
      <w:pPr>
        <w:ind w:left="450" w:hanging="450"/>
      </w:pPr>
      <w:rPr>
        <w:rFonts w:hint="default"/>
        <w:b/>
      </w:rPr>
    </w:lvl>
    <w:lvl w:ilvl="1" w:tentative="0">
      <w:start w:val="1"/>
      <w:numFmt w:val="decimal"/>
      <w:lvlText w:val="%2、"/>
      <w:lvlJc w:val="left"/>
      <w:pPr>
        <w:ind w:left="780" w:hanging="360"/>
      </w:pPr>
      <w:rPr>
        <w:rFonts w:cs="Times New Roman"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09"/>
    <w:rsid w:val="00002E75"/>
    <w:rsid w:val="00020C6E"/>
    <w:rsid w:val="000317FF"/>
    <w:rsid w:val="000856A8"/>
    <w:rsid w:val="00086F67"/>
    <w:rsid w:val="000A2BD0"/>
    <w:rsid w:val="000E2A73"/>
    <w:rsid w:val="000E4739"/>
    <w:rsid w:val="00156600"/>
    <w:rsid w:val="001A06CF"/>
    <w:rsid w:val="001C14B5"/>
    <w:rsid w:val="001D2039"/>
    <w:rsid w:val="001D2544"/>
    <w:rsid w:val="0021125B"/>
    <w:rsid w:val="002774E7"/>
    <w:rsid w:val="002810E4"/>
    <w:rsid w:val="002A1584"/>
    <w:rsid w:val="002C255A"/>
    <w:rsid w:val="002D226D"/>
    <w:rsid w:val="003112AB"/>
    <w:rsid w:val="00314606"/>
    <w:rsid w:val="00352ED2"/>
    <w:rsid w:val="00354B18"/>
    <w:rsid w:val="0037717F"/>
    <w:rsid w:val="00381168"/>
    <w:rsid w:val="003C40DC"/>
    <w:rsid w:val="003E12B2"/>
    <w:rsid w:val="003E42D0"/>
    <w:rsid w:val="003E52FA"/>
    <w:rsid w:val="00433E32"/>
    <w:rsid w:val="004B270B"/>
    <w:rsid w:val="004F6C80"/>
    <w:rsid w:val="0050056E"/>
    <w:rsid w:val="00562E4E"/>
    <w:rsid w:val="00580F37"/>
    <w:rsid w:val="00585377"/>
    <w:rsid w:val="0059599C"/>
    <w:rsid w:val="00596DBA"/>
    <w:rsid w:val="005A2954"/>
    <w:rsid w:val="005A7879"/>
    <w:rsid w:val="005C5C65"/>
    <w:rsid w:val="006147D4"/>
    <w:rsid w:val="0066320B"/>
    <w:rsid w:val="00670EF3"/>
    <w:rsid w:val="00682BBF"/>
    <w:rsid w:val="006B5E44"/>
    <w:rsid w:val="006B720F"/>
    <w:rsid w:val="006C5165"/>
    <w:rsid w:val="00704D2D"/>
    <w:rsid w:val="00752DE9"/>
    <w:rsid w:val="00780496"/>
    <w:rsid w:val="007A7F46"/>
    <w:rsid w:val="007C263F"/>
    <w:rsid w:val="007C39AF"/>
    <w:rsid w:val="007E00F0"/>
    <w:rsid w:val="00814366"/>
    <w:rsid w:val="008152D3"/>
    <w:rsid w:val="00865AA5"/>
    <w:rsid w:val="00890D44"/>
    <w:rsid w:val="008A4682"/>
    <w:rsid w:val="008D4009"/>
    <w:rsid w:val="008E4141"/>
    <w:rsid w:val="008F7FC8"/>
    <w:rsid w:val="00964A0E"/>
    <w:rsid w:val="009A234F"/>
    <w:rsid w:val="009D23A9"/>
    <w:rsid w:val="00A051B6"/>
    <w:rsid w:val="00A16336"/>
    <w:rsid w:val="00A71A5E"/>
    <w:rsid w:val="00AD0908"/>
    <w:rsid w:val="00AD75A3"/>
    <w:rsid w:val="00AE121B"/>
    <w:rsid w:val="00AF6D49"/>
    <w:rsid w:val="00B04D27"/>
    <w:rsid w:val="00B257B9"/>
    <w:rsid w:val="00B513E3"/>
    <w:rsid w:val="00B75EFB"/>
    <w:rsid w:val="00B855EA"/>
    <w:rsid w:val="00B85AA8"/>
    <w:rsid w:val="00B85B12"/>
    <w:rsid w:val="00BB04FF"/>
    <w:rsid w:val="00C04D07"/>
    <w:rsid w:val="00C10FA1"/>
    <w:rsid w:val="00C179A6"/>
    <w:rsid w:val="00C20687"/>
    <w:rsid w:val="00C60FFD"/>
    <w:rsid w:val="00C82307"/>
    <w:rsid w:val="00CA0D8B"/>
    <w:rsid w:val="00CC4C28"/>
    <w:rsid w:val="00D2359D"/>
    <w:rsid w:val="00D427FA"/>
    <w:rsid w:val="00D762C2"/>
    <w:rsid w:val="00DD01FE"/>
    <w:rsid w:val="00DE7D04"/>
    <w:rsid w:val="00DE7E07"/>
    <w:rsid w:val="00E02FA2"/>
    <w:rsid w:val="00E05C73"/>
    <w:rsid w:val="00E34700"/>
    <w:rsid w:val="00E45A5F"/>
    <w:rsid w:val="00E703FE"/>
    <w:rsid w:val="00E959A0"/>
    <w:rsid w:val="00EB08D4"/>
    <w:rsid w:val="00EF34C7"/>
    <w:rsid w:val="00F14E89"/>
    <w:rsid w:val="00F56C23"/>
    <w:rsid w:val="00FA0062"/>
    <w:rsid w:val="00FE1BF6"/>
    <w:rsid w:val="00FE758E"/>
    <w:rsid w:val="00FF44B2"/>
    <w:rsid w:val="05B940DC"/>
    <w:rsid w:val="0EF7646F"/>
    <w:rsid w:val="1626466A"/>
    <w:rsid w:val="22D03594"/>
    <w:rsid w:val="31BA739A"/>
    <w:rsid w:val="3D73479C"/>
    <w:rsid w:val="46F10D43"/>
    <w:rsid w:val="570D7656"/>
    <w:rsid w:val="5FD61184"/>
    <w:rsid w:val="6225404D"/>
    <w:rsid w:val="68DA1B44"/>
    <w:rsid w:val="6D2C351C"/>
    <w:rsid w:val="6FF608EA"/>
    <w:rsid w:val="73D8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after="120"/>
    </w:pPr>
    <w:rPr>
      <w:kern w:val="0"/>
      <w:sz w:val="24"/>
      <w:szCs w:val="24"/>
    </w:r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kern w:val="0"/>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Hyperlink"/>
    <w:unhideWhenUsed/>
    <w:qFormat/>
    <w:uiPriority w:val="99"/>
    <w:rPr>
      <w:color w:val="333333"/>
      <w:u w:val="none"/>
    </w:rPr>
  </w:style>
  <w:style w:type="character" w:customStyle="1" w:styleId="11">
    <w:name w:val="页眉 Char"/>
    <w:link w:val="7"/>
    <w:qFormat/>
    <w:uiPriority w:val="99"/>
    <w:rPr>
      <w:sz w:val="18"/>
      <w:szCs w:val="18"/>
    </w:rPr>
  </w:style>
  <w:style w:type="character" w:customStyle="1" w:styleId="12">
    <w:name w:val="页脚 Char"/>
    <w:link w:val="6"/>
    <w:qFormat/>
    <w:uiPriority w:val="99"/>
    <w:rPr>
      <w:sz w:val="18"/>
      <w:szCs w:val="18"/>
    </w:rPr>
  </w:style>
  <w:style w:type="character" w:customStyle="1" w:styleId="13">
    <w:name w:val="批注框文本 Char"/>
    <w:link w:val="5"/>
    <w:semiHidden/>
    <w:qFormat/>
    <w:uiPriority w:val="99"/>
    <w:rPr>
      <w:kern w:val="2"/>
      <w:sz w:val="18"/>
      <w:szCs w:val="18"/>
    </w:rPr>
  </w:style>
  <w:style w:type="paragraph" w:styleId="14">
    <w:name w:val="List Paragraph"/>
    <w:basedOn w:val="1"/>
    <w:qFormat/>
    <w:uiPriority w:val="34"/>
    <w:pPr>
      <w:ind w:firstLine="420" w:firstLineChars="200"/>
    </w:pPr>
  </w:style>
  <w:style w:type="character" w:customStyle="1" w:styleId="15">
    <w:name w:val="font11"/>
    <w:basedOn w:val="9"/>
    <w:qFormat/>
    <w:uiPriority w:val="0"/>
    <w:rPr>
      <w:rFonts w:hint="eastAsia" w:ascii="微软雅黑" w:hAnsi="微软雅黑" w:eastAsia="微软雅黑" w:cs="微软雅黑"/>
      <w:color w:val="000000"/>
      <w:sz w:val="20"/>
      <w:szCs w:val="20"/>
      <w:u w:val="none"/>
    </w:rPr>
  </w:style>
  <w:style w:type="character" w:customStyle="1" w:styleId="16">
    <w:name w:val="font21"/>
    <w:basedOn w:val="9"/>
    <w:qFormat/>
    <w:uiPriority w:val="0"/>
    <w:rPr>
      <w:rFonts w:hint="eastAsia" w:ascii="微软雅黑" w:hAnsi="微软雅黑" w:eastAsia="微软雅黑" w:cs="微软雅黑"/>
      <w:color w:val="FF0000"/>
      <w:sz w:val="20"/>
      <w:szCs w:val="20"/>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2522</Words>
  <Characters>2621</Characters>
  <Lines>4</Lines>
  <Paragraphs>1</Paragraphs>
  <TotalTime>0</TotalTime>
  <ScaleCrop>false</ScaleCrop>
  <LinksUpToDate>false</LinksUpToDate>
  <CharactersWithSpaces>2632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2020-10-16T01:57:00Z</dcterms:created>
  <dc:creator>Lenovo User</dc:creator>
  <cp:lastModifiedBy>李枫</cp:lastModifiedBy>
  <cp:lastPrinted>2018-06-19T01:37:00Z</cp:lastPrinted>
  <dcterms:modified xsi:type="dcterms:W3CDTF">2025-06-23T07:23:16Z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eyJoZGlkIjoiZjQzMmM2NTU2OWFmN2FjNmVkZmU5MzJlN2Y1MTQ1ZWMiLCJ1c2VySWQiOiIxNjYzMzMxNDk4In0=</vt:lpwstr>
  </property>
  <property fmtid="{D5CDD505-2E9C-101B-9397-08002B2CF9AE}" pid="3" name="KSOProductBuildVer">
    <vt:lpwstr>2052-12.1.0.21541</vt:lpwstr>
  </property>
  <property fmtid="{D5CDD505-2E9C-101B-9397-08002B2CF9AE}" pid="4" name="ICV">
    <vt:lpwstr>4AA96A3D290A4BCFA645367EA7AEEBB3_13</vt:lpwstr>
  </property>
</Properties>
</file>