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B9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江苏开放大学</w:t>
      </w:r>
      <w:r>
        <w:rPr>
          <w:rFonts w:hint="eastAsia" w:ascii="宋体" w:hAnsi="宋体" w:eastAsia="宋体" w:cs="宋体"/>
          <w:b/>
          <w:bCs/>
          <w:color w:val="000000" w:themeColor="text1"/>
          <w:sz w:val="44"/>
          <w:szCs w:val="44"/>
          <w:lang w:val="en-US" w:eastAsia="zh-CN"/>
          <w14:textFill>
            <w14:solidFill>
              <w14:schemeClr w14:val="tx1"/>
            </w14:solidFill>
          </w14:textFill>
        </w:rPr>
        <w:t>桥林</w:t>
      </w:r>
      <w:r>
        <w:rPr>
          <w:rFonts w:hint="eastAsia" w:ascii="宋体" w:hAnsi="宋体" w:eastAsia="宋体" w:cs="宋体"/>
          <w:b/>
          <w:bCs/>
          <w:color w:val="000000" w:themeColor="text1"/>
          <w:sz w:val="44"/>
          <w:szCs w:val="44"/>
          <w:lang w:eastAsia="zh-CN"/>
          <w14:textFill>
            <w14:solidFill>
              <w14:schemeClr w14:val="tx1"/>
            </w14:solidFill>
          </w14:textFill>
        </w:rPr>
        <w:t>校</w:t>
      </w:r>
      <w:r>
        <w:rPr>
          <w:rFonts w:hint="eastAsia" w:ascii="宋体" w:hAnsi="宋体" w:eastAsia="宋体" w:cs="宋体"/>
          <w:b/>
          <w:bCs/>
          <w:color w:val="000000" w:themeColor="text1"/>
          <w:sz w:val="44"/>
          <w:szCs w:val="44"/>
          <w:lang w:val="en-US" w:eastAsia="zh-CN"/>
          <w14:textFill>
            <w14:solidFill>
              <w14:schemeClr w14:val="tx1"/>
            </w14:solidFill>
          </w14:textFill>
        </w:rPr>
        <w:t>区食堂后场空调新风系统</w:t>
      </w:r>
      <w:r>
        <w:rPr>
          <w:rFonts w:hint="eastAsia" w:ascii="宋体" w:hAnsi="宋体" w:eastAsia="宋体" w:cs="宋体"/>
          <w:b/>
          <w:bCs/>
          <w:color w:val="000000" w:themeColor="text1"/>
          <w:sz w:val="44"/>
          <w:szCs w:val="44"/>
          <w14:textFill>
            <w14:solidFill>
              <w14:schemeClr w14:val="tx1"/>
            </w14:solidFill>
          </w14:textFill>
        </w:rPr>
        <w:t>采购</w:t>
      </w:r>
      <w:r>
        <w:rPr>
          <w:rFonts w:hint="eastAsia" w:ascii="宋体" w:hAnsi="宋体" w:eastAsia="宋体" w:cs="宋体"/>
          <w:b/>
          <w:bCs/>
          <w:color w:val="000000" w:themeColor="text1"/>
          <w:sz w:val="44"/>
          <w:szCs w:val="44"/>
          <w:lang w:val="en-US" w:eastAsia="zh-CN"/>
          <w14:textFill>
            <w14:solidFill>
              <w14:schemeClr w14:val="tx1"/>
            </w14:solidFill>
          </w14:textFill>
        </w:rPr>
        <w:t>及安装项目</w:t>
      </w:r>
      <w:r>
        <w:rPr>
          <w:rFonts w:hint="eastAsia" w:ascii="宋体" w:hAnsi="宋体" w:eastAsia="宋体" w:cs="宋体"/>
          <w:b/>
          <w:bCs/>
          <w:color w:val="000000" w:themeColor="text1"/>
          <w:sz w:val="44"/>
          <w:szCs w:val="44"/>
          <w14:textFill>
            <w14:solidFill>
              <w14:schemeClr w14:val="tx1"/>
            </w14:solidFill>
          </w14:textFill>
        </w:rPr>
        <w:t>需求</w:t>
      </w:r>
      <w:r>
        <w:rPr>
          <w:rFonts w:hint="eastAsia" w:ascii="宋体" w:hAnsi="宋体" w:eastAsia="宋体" w:cs="宋体"/>
          <w:b/>
          <w:bCs/>
          <w:color w:val="000000" w:themeColor="text1"/>
          <w:sz w:val="44"/>
          <w:szCs w:val="44"/>
          <w:lang w:eastAsia="zh-CN"/>
          <w14:textFill>
            <w14:solidFill>
              <w14:schemeClr w14:val="tx1"/>
            </w14:solidFill>
          </w14:textFill>
        </w:rPr>
        <w:t>方案</w:t>
      </w:r>
    </w:p>
    <w:p w14:paraId="0808895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leftChars="0"/>
        <w:textAlignment w:val="auto"/>
        <w:rPr>
          <w:rFonts w:hint="eastAsia" w:ascii="方正黑体简体" w:hAnsi="方正黑体简体" w:eastAsia="方正黑体简体" w:cs="方正黑体简体"/>
          <w:color w:val="000000" w:themeColor="text1"/>
          <w:sz w:val="32"/>
          <w:szCs w:val="32"/>
          <w14:textFill>
            <w14:solidFill>
              <w14:schemeClr w14:val="tx1"/>
            </w14:solidFill>
          </w14:textFill>
        </w:rPr>
      </w:pPr>
      <w:r>
        <w:rPr>
          <w:rFonts w:hint="eastAsia" w:ascii="方正黑体简体" w:hAnsi="方正黑体简体" w:eastAsia="方正黑体简体" w:cs="方正黑体简体"/>
          <w:color w:val="000000" w:themeColor="text1"/>
          <w:sz w:val="32"/>
          <w:szCs w:val="32"/>
          <w14:textFill>
            <w14:solidFill>
              <w14:schemeClr w14:val="tx1"/>
            </w14:solidFill>
          </w14:textFill>
        </w:rPr>
        <w:t>一、项目概况</w:t>
      </w:r>
    </w:p>
    <w:p w14:paraId="2919C5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14:textFill>
            <w14:solidFill>
              <w14:schemeClr w14:val="tx1"/>
            </w14:solidFill>
          </w14:textFill>
        </w:rPr>
        <w:t>江苏开放大学</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桥林</w:t>
      </w:r>
      <w:r>
        <w:rPr>
          <w:rFonts w:hint="default" w:ascii="Times New Roman" w:hAnsi="Times New Roman" w:eastAsia="方正仿宋_GB18030" w:cs="Times New Roman"/>
          <w:color w:val="000000" w:themeColor="text1"/>
          <w:sz w:val="32"/>
          <w:szCs w:val="32"/>
          <w14:textFill>
            <w14:solidFill>
              <w14:schemeClr w14:val="tx1"/>
            </w14:solidFill>
          </w14:textFill>
        </w:rPr>
        <w:t>校区一期将投入使用，为确保</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食堂后场舒适、卫生</w:t>
      </w:r>
      <w:r>
        <w:rPr>
          <w:rFonts w:hint="default" w:ascii="Times New Roman" w:hAnsi="Times New Roman" w:eastAsia="方正仿宋_GB18030" w:cs="Times New Roman"/>
          <w:color w:val="000000" w:themeColor="text1"/>
          <w:sz w:val="32"/>
          <w:szCs w:val="32"/>
          <w14:textFill>
            <w14:solidFill>
              <w14:schemeClr w14:val="tx1"/>
            </w14:solidFill>
          </w14:textFill>
        </w:rPr>
        <w:t>需求，拟采用公开招标采购</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食堂后场空调、新风系统采购及安装项目</w:t>
      </w:r>
      <w:r>
        <w:rPr>
          <w:rFonts w:hint="default" w:ascii="Times New Roman" w:hAnsi="Times New Roman" w:eastAsia="方正仿宋_GB18030" w:cs="Times New Roman"/>
          <w:color w:val="000000" w:themeColor="text1"/>
          <w:sz w:val="32"/>
          <w:szCs w:val="32"/>
          <w14:textFill>
            <w14:solidFill>
              <w14:schemeClr w14:val="tx1"/>
            </w14:solidFill>
          </w14:textFill>
        </w:rPr>
        <w:t>。</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学生食堂共计3层，计划配置3组VRV空调系统机组，3组冷热源新风系统机组，一台2匹吸顶分体空调，详细设备清单见下表，总预算金额为56万元。</w:t>
      </w:r>
    </w:p>
    <w:p w14:paraId="33CDBDF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Chars="0"/>
        <w:textAlignment w:val="auto"/>
        <w:rPr>
          <w:rFonts w:hint="eastAsia" w:ascii="方正黑体简体" w:hAnsi="方正黑体简体" w:eastAsia="方正黑体简体" w:cs="方正黑体简体"/>
          <w:color w:val="000000" w:themeColor="text1"/>
          <w:sz w:val="32"/>
          <w:szCs w:val="32"/>
          <w14:textFill>
            <w14:solidFill>
              <w14:schemeClr w14:val="tx1"/>
            </w14:solidFill>
          </w14:textFill>
        </w:rPr>
      </w:pPr>
      <w:r>
        <w:rPr>
          <w:rFonts w:hint="eastAsia" w:ascii="方正黑体简体" w:hAnsi="方正黑体简体" w:eastAsia="方正黑体简体" w:cs="方正黑体简体"/>
          <w:color w:val="000000" w:themeColor="text1"/>
          <w:sz w:val="32"/>
          <w:szCs w:val="32"/>
          <w14:textFill>
            <w14:solidFill>
              <w14:schemeClr w14:val="tx1"/>
            </w14:solidFill>
          </w14:textFill>
        </w:rPr>
        <w:t>需求清单</w:t>
      </w:r>
    </w:p>
    <w:p w14:paraId="2C56F58A">
      <w:pPr>
        <w:pStyle w:val="5"/>
        <w:keepNext w:val="0"/>
        <w:keepLines w:val="0"/>
        <w:pageBreakBefore w:val="0"/>
        <w:numPr>
          <w:ilvl w:val="0"/>
          <w:numId w:val="0"/>
        </w:numPr>
        <w:kinsoku/>
        <w:wordWrap/>
        <w:overflowPunct/>
        <w:topLinePunct w:val="0"/>
        <w:autoSpaceDE/>
        <w:autoSpaceDN/>
        <w:bidi w:val="0"/>
        <w:adjustRightInd/>
        <w:spacing w:line="240" w:lineRule="auto"/>
        <w:textAlignment w:val="auto"/>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1.主要设备</w:t>
      </w:r>
    </w:p>
    <w:tbl>
      <w:tblPr>
        <w:tblStyle w:val="8"/>
        <w:tblW w:w="9575"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568"/>
        <w:gridCol w:w="2075"/>
        <w:gridCol w:w="2686"/>
        <w:gridCol w:w="395"/>
        <w:gridCol w:w="746"/>
        <w:gridCol w:w="773"/>
        <w:gridCol w:w="753"/>
        <w:gridCol w:w="1579"/>
      </w:tblGrid>
      <w:tr w14:paraId="1D575A8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7BB3C375">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序号</w:t>
            </w:r>
          </w:p>
        </w:tc>
        <w:tc>
          <w:tcPr>
            <w:tcW w:w="2075" w:type="dxa"/>
            <w:tcBorders>
              <w:top w:val="single" w:color="auto" w:sz="4" w:space="0"/>
              <w:left w:val="single" w:color="auto" w:sz="4" w:space="0"/>
              <w:bottom w:val="single" w:color="auto" w:sz="4" w:space="0"/>
              <w:right w:val="single" w:color="auto" w:sz="4" w:space="0"/>
            </w:tcBorders>
            <w:noWrap/>
            <w:vAlign w:val="center"/>
          </w:tcPr>
          <w:p w14:paraId="63F9337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名称</w:t>
            </w:r>
          </w:p>
        </w:tc>
        <w:tc>
          <w:tcPr>
            <w:tcW w:w="2686" w:type="dxa"/>
            <w:tcBorders>
              <w:top w:val="single" w:color="auto" w:sz="4" w:space="0"/>
              <w:left w:val="single" w:color="auto" w:sz="4" w:space="0"/>
              <w:bottom w:val="single" w:color="auto" w:sz="4" w:space="0"/>
              <w:right w:val="single" w:color="auto" w:sz="4" w:space="0"/>
            </w:tcBorders>
            <w:noWrap/>
            <w:vAlign w:val="center"/>
          </w:tcPr>
          <w:p w14:paraId="54D2E16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规格参数</w:t>
            </w:r>
          </w:p>
        </w:tc>
        <w:tc>
          <w:tcPr>
            <w:tcW w:w="395" w:type="dxa"/>
            <w:tcBorders>
              <w:top w:val="single" w:color="auto" w:sz="4" w:space="0"/>
              <w:left w:val="single" w:color="auto" w:sz="4" w:space="0"/>
              <w:bottom w:val="single" w:color="auto" w:sz="4" w:space="0"/>
              <w:right w:val="single" w:color="auto" w:sz="4" w:space="0"/>
            </w:tcBorders>
            <w:noWrap/>
            <w:vAlign w:val="center"/>
          </w:tcPr>
          <w:p w14:paraId="3EC7CA4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单位</w:t>
            </w:r>
          </w:p>
        </w:tc>
        <w:tc>
          <w:tcPr>
            <w:tcW w:w="746" w:type="dxa"/>
            <w:tcBorders>
              <w:top w:val="single" w:color="auto" w:sz="4" w:space="0"/>
              <w:left w:val="single" w:color="auto" w:sz="4" w:space="0"/>
              <w:bottom w:val="single" w:color="auto" w:sz="4" w:space="0"/>
              <w:right w:val="single" w:color="auto" w:sz="4" w:space="0"/>
            </w:tcBorders>
            <w:noWrap/>
            <w:vAlign w:val="center"/>
          </w:tcPr>
          <w:p w14:paraId="5ED027B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数量</w:t>
            </w:r>
          </w:p>
        </w:tc>
        <w:tc>
          <w:tcPr>
            <w:tcW w:w="773" w:type="dxa"/>
            <w:tcBorders>
              <w:top w:val="single" w:color="auto" w:sz="4" w:space="0"/>
              <w:left w:val="single" w:color="auto" w:sz="4" w:space="0"/>
              <w:bottom w:val="single" w:color="auto" w:sz="4" w:space="0"/>
              <w:right w:val="single" w:color="auto" w:sz="4" w:space="0"/>
            </w:tcBorders>
            <w:noWrap/>
            <w:vAlign w:val="center"/>
          </w:tcPr>
          <w:p w14:paraId="28ADC0D5">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b/>
                <w:bCs/>
                <w:i w:val="0"/>
                <w:iCs w:val="0"/>
                <w:color w:val="000000"/>
                <w:sz w:val="24"/>
                <w:szCs w:val="24"/>
                <w:highlight w:val="none"/>
                <w:u w:val="none"/>
                <w:lang w:val="en-US" w:eastAsia="zh-CN" w:bidi="ar"/>
              </w:rPr>
            </w:pPr>
            <w:r>
              <w:rPr>
                <w:rFonts w:hint="eastAsia" w:ascii="宋体" w:hAnsi="宋体" w:eastAsia="宋体" w:cs="宋体"/>
                <w:b/>
                <w:bCs/>
                <w:i w:val="0"/>
                <w:iCs w:val="0"/>
                <w:color w:val="000000"/>
                <w:sz w:val="24"/>
                <w:szCs w:val="24"/>
                <w:highlight w:val="none"/>
                <w:u w:val="none"/>
                <w:lang w:val="en-US" w:eastAsia="zh-CN" w:bidi="ar"/>
              </w:rPr>
              <w:t>单价</w:t>
            </w:r>
          </w:p>
        </w:tc>
        <w:tc>
          <w:tcPr>
            <w:tcW w:w="753" w:type="dxa"/>
            <w:tcBorders>
              <w:top w:val="single" w:color="auto" w:sz="4" w:space="0"/>
              <w:left w:val="single" w:color="auto" w:sz="4" w:space="0"/>
              <w:bottom w:val="single" w:color="auto" w:sz="4" w:space="0"/>
              <w:right w:val="single" w:color="auto" w:sz="4" w:space="0"/>
            </w:tcBorders>
            <w:noWrap/>
            <w:vAlign w:val="center"/>
          </w:tcPr>
          <w:p w14:paraId="31BE2A8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b/>
                <w:bCs/>
                <w:i w:val="0"/>
                <w:iCs w:val="0"/>
                <w:color w:val="000000"/>
                <w:sz w:val="24"/>
                <w:szCs w:val="24"/>
                <w:highlight w:val="none"/>
                <w:u w:val="none"/>
                <w:lang w:val="en-US" w:eastAsia="zh-CN" w:bidi="ar"/>
              </w:rPr>
            </w:pPr>
            <w:r>
              <w:rPr>
                <w:rFonts w:hint="eastAsia" w:ascii="宋体" w:hAnsi="宋体" w:eastAsia="宋体" w:cs="宋体"/>
                <w:b/>
                <w:bCs/>
                <w:i w:val="0"/>
                <w:iCs w:val="0"/>
                <w:color w:val="000000"/>
                <w:sz w:val="24"/>
                <w:szCs w:val="24"/>
                <w:highlight w:val="none"/>
                <w:u w:val="none"/>
                <w:lang w:val="en-US" w:eastAsia="zh-CN" w:bidi="ar"/>
              </w:rPr>
              <w:t>总价</w:t>
            </w:r>
          </w:p>
        </w:tc>
        <w:tc>
          <w:tcPr>
            <w:tcW w:w="1579" w:type="dxa"/>
            <w:tcBorders>
              <w:top w:val="single" w:color="auto" w:sz="4" w:space="0"/>
              <w:left w:val="single" w:color="auto" w:sz="4" w:space="0"/>
              <w:bottom w:val="single" w:color="auto" w:sz="4" w:space="0"/>
              <w:right w:val="single" w:color="auto" w:sz="4" w:space="0"/>
            </w:tcBorders>
            <w:noWrap/>
            <w:vAlign w:val="center"/>
          </w:tcPr>
          <w:p w14:paraId="40B18FDE">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b/>
                <w:bCs/>
                <w:i w:val="0"/>
                <w:iCs w:val="0"/>
                <w:color w:val="000000"/>
                <w:sz w:val="24"/>
                <w:szCs w:val="24"/>
                <w:highlight w:val="none"/>
                <w:u w:val="none"/>
                <w:lang w:val="en-US" w:eastAsia="zh-CN" w:bidi="ar"/>
              </w:rPr>
            </w:pPr>
            <w:r>
              <w:rPr>
                <w:rFonts w:hint="eastAsia" w:ascii="宋体" w:hAnsi="宋体" w:eastAsia="宋体" w:cs="宋体"/>
                <w:b/>
                <w:bCs/>
                <w:i w:val="0"/>
                <w:iCs w:val="0"/>
                <w:color w:val="000000"/>
                <w:sz w:val="24"/>
                <w:szCs w:val="24"/>
                <w:highlight w:val="none"/>
                <w:u w:val="none"/>
                <w:lang w:val="en-US" w:eastAsia="zh-CN" w:bidi="ar"/>
              </w:rPr>
              <w:t>备注</w:t>
            </w:r>
          </w:p>
        </w:tc>
      </w:tr>
      <w:tr w14:paraId="0851FFB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55E2CDB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2075" w:type="dxa"/>
            <w:tcBorders>
              <w:top w:val="single" w:color="auto" w:sz="4" w:space="0"/>
              <w:left w:val="single" w:color="auto" w:sz="4" w:space="0"/>
              <w:bottom w:val="single" w:color="auto" w:sz="4" w:space="0"/>
              <w:right w:val="single" w:color="auto" w:sz="4" w:space="0"/>
            </w:tcBorders>
            <w:noWrap/>
            <w:vAlign w:val="center"/>
          </w:tcPr>
          <w:p w14:paraId="7958AE6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VRV室外机组1</w:t>
            </w:r>
          </w:p>
        </w:tc>
        <w:tc>
          <w:tcPr>
            <w:tcW w:w="2686" w:type="dxa"/>
            <w:tcBorders>
              <w:top w:val="single" w:color="auto" w:sz="4" w:space="0"/>
              <w:left w:val="single" w:color="auto" w:sz="4" w:space="0"/>
              <w:bottom w:val="single" w:color="auto" w:sz="4" w:space="0"/>
              <w:right w:val="single" w:color="auto" w:sz="4" w:space="0"/>
            </w:tcBorders>
            <w:noWrap w:val="0"/>
            <w:vAlign w:val="center"/>
          </w:tcPr>
          <w:p w14:paraId="49CA835B">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制冷量≥61.5kw；</w:t>
            </w:r>
          </w:p>
          <w:p w14:paraId="40D33BF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b/>
                <w:bCs/>
                <w:i/>
                <w:iCs/>
                <w:u w:val="single"/>
                <w:lang w:val="en-US" w:eastAsia="zh-CN"/>
              </w:rPr>
            </w:pPr>
            <w:r>
              <w:rPr>
                <w:rFonts w:hint="eastAsia" w:ascii="宋体" w:hAnsi="宋体" w:eastAsia="宋体" w:cs="宋体"/>
                <w:b/>
                <w:bCs/>
                <w:i/>
                <w:iCs/>
                <w:color w:val="000000"/>
                <w:sz w:val="24"/>
                <w:szCs w:val="24"/>
                <w:highlight w:val="none"/>
                <w:u w:val="single"/>
                <w:lang w:val="en-US" w:eastAsia="zh-CN"/>
              </w:rPr>
              <w:t>制热量≥69kw；</w:t>
            </w:r>
          </w:p>
        </w:tc>
        <w:tc>
          <w:tcPr>
            <w:tcW w:w="395" w:type="dxa"/>
            <w:tcBorders>
              <w:top w:val="single" w:color="auto" w:sz="4" w:space="0"/>
              <w:left w:val="single" w:color="auto" w:sz="4" w:space="0"/>
              <w:bottom w:val="single" w:color="auto" w:sz="4" w:space="0"/>
              <w:right w:val="single" w:color="auto" w:sz="4" w:space="0"/>
            </w:tcBorders>
            <w:noWrap/>
            <w:vAlign w:val="center"/>
          </w:tcPr>
          <w:p w14:paraId="751D97A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组</w:t>
            </w:r>
          </w:p>
        </w:tc>
        <w:tc>
          <w:tcPr>
            <w:tcW w:w="746" w:type="dxa"/>
            <w:tcBorders>
              <w:top w:val="single" w:color="auto" w:sz="4" w:space="0"/>
              <w:left w:val="single" w:color="auto" w:sz="4" w:space="0"/>
              <w:bottom w:val="single" w:color="auto" w:sz="4" w:space="0"/>
              <w:right w:val="single" w:color="auto" w:sz="4" w:space="0"/>
            </w:tcBorders>
            <w:noWrap/>
            <w:vAlign w:val="center"/>
          </w:tcPr>
          <w:p w14:paraId="29CEADD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773" w:type="dxa"/>
            <w:tcBorders>
              <w:top w:val="single" w:color="auto" w:sz="4" w:space="0"/>
              <w:left w:val="single" w:color="auto" w:sz="4" w:space="0"/>
              <w:bottom w:val="single" w:color="auto" w:sz="4" w:space="0"/>
              <w:right w:val="single" w:color="auto" w:sz="4" w:space="0"/>
            </w:tcBorders>
            <w:noWrap/>
            <w:vAlign w:val="center"/>
          </w:tcPr>
          <w:p w14:paraId="434133E8">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4451B47C">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6C70B7D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r>
      <w:tr w14:paraId="40DFCFF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0810FB7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2</w:t>
            </w:r>
          </w:p>
        </w:tc>
        <w:tc>
          <w:tcPr>
            <w:tcW w:w="2075" w:type="dxa"/>
            <w:tcBorders>
              <w:top w:val="single" w:color="auto" w:sz="4" w:space="0"/>
              <w:left w:val="single" w:color="auto" w:sz="4" w:space="0"/>
              <w:bottom w:val="single" w:color="auto" w:sz="4" w:space="0"/>
              <w:right w:val="single" w:color="auto" w:sz="4" w:space="0"/>
            </w:tcBorders>
            <w:noWrap/>
            <w:vAlign w:val="center"/>
          </w:tcPr>
          <w:p w14:paraId="7B05BDB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VRV室外机组2</w:t>
            </w:r>
          </w:p>
        </w:tc>
        <w:tc>
          <w:tcPr>
            <w:tcW w:w="2686" w:type="dxa"/>
            <w:tcBorders>
              <w:top w:val="single" w:color="auto" w:sz="4" w:space="0"/>
              <w:left w:val="single" w:color="auto" w:sz="4" w:space="0"/>
              <w:bottom w:val="single" w:color="auto" w:sz="4" w:space="0"/>
              <w:right w:val="single" w:color="auto" w:sz="4" w:space="0"/>
            </w:tcBorders>
            <w:noWrap w:val="0"/>
            <w:vAlign w:val="center"/>
          </w:tcPr>
          <w:p w14:paraId="4C940AF8">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制冷量≥56kw；</w:t>
            </w:r>
          </w:p>
          <w:p w14:paraId="53D2DAD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制热量≥63kw；</w:t>
            </w:r>
          </w:p>
        </w:tc>
        <w:tc>
          <w:tcPr>
            <w:tcW w:w="395" w:type="dxa"/>
            <w:tcBorders>
              <w:top w:val="single" w:color="auto" w:sz="4" w:space="0"/>
              <w:left w:val="single" w:color="auto" w:sz="4" w:space="0"/>
              <w:bottom w:val="single" w:color="auto" w:sz="4" w:space="0"/>
              <w:right w:val="single" w:color="auto" w:sz="4" w:space="0"/>
            </w:tcBorders>
            <w:noWrap/>
            <w:vAlign w:val="center"/>
          </w:tcPr>
          <w:p w14:paraId="749D4B3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组</w:t>
            </w:r>
          </w:p>
        </w:tc>
        <w:tc>
          <w:tcPr>
            <w:tcW w:w="746" w:type="dxa"/>
            <w:tcBorders>
              <w:top w:val="single" w:color="auto" w:sz="4" w:space="0"/>
              <w:left w:val="single" w:color="auto" w:sz="4" w:space="0"/>
              <w:bottom w:val="single" w:color="auto" w:sz="4" w:space="0"/>
              <w:right w:val="single" w:color="auto" w:sz="4" w:space="0"/>
            </w:tcBorders>
            <w:noWrap/>
            <w:vAlign w:val="center"/>
          </w:tcPr>
          <w:p w14:paraId="2FF8AA1B">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773" w:type="dxa"/>
            <w:tcBorders>
              <w:top w:val="single" w:color="auto" w:sz="4" w:space="0"/>
              <w:left w:val="single" w:color="auto" w:sz="4" w:space="0"/>
              <w:bottom w:val="single" w:color="auto" w:sz="4" w:space="0"/>
              <w:right w:val="single" w:color="auto" w:sz="4" w:space="0"/>
            </w:tcBorders>
            <w:noWrap/>
            <w:vAlign w:val="center"/>
          </w:tcPr>
          <w:p w14:paraId="6D8C5FC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39B0A40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3E3673F1">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r>
      <w:tr w14:paraId="2CA32DC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17FDB1BC">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3</w:t>
            </w:r>
          </w:p>
        </w:tc>
        <w:tc>
          <w:tcPr>
            <w:tcW w:w="2075" w:type="dxa"/>
            <w:tcBorders>
              <w:top w:val="single" w:color="auto" w:sz="4" w:space="0"/>
              <w:left w:val="single" w:color="auto" w:sz="4" w:space="0"/>
              <w:bottom w:val="single" w:color="auto" w:sz="4" w:space="0"/>
              <w:right w:val="single" w:color="auto" w:sz="4" w:space="0"/>
            </w:tcBorders>
            <w:noWrap/>
            <w:vAlign w:val="center"/>
          </w:tcPr>
          <w:p w14:paraId="410045CB">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both"/>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VRV室外机组3</w:t>
            </w:r>
          </w:p>
        </w:tc>
        <w:tc>
          <w:tcPr>
            <w:tcW w:w="2686" w:type="dxa"/>
            <w:tcBorders>
              <w:top w:val="single" w:color="auto" w:sz="4" w:space="0"/>
              <w:left w:val="single" w:color="auto" w:sz="4" w:space="0"/>
              <w:bottom w:val="single" w:color="auto" w:sz="4" w:space="0"/>
              <w:right w:val="single" w:color="auto" w:sz="4" w:space="0"/>
            </w:tcBorders>
            <w:noWrap w:val="0"/>
            <w:vAlign w:val="center"/>
          </w:tcPr>
          <w:p w14:paraId="376D226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制冷量≥40kw；</w:t>
            </w:r>
          </w:p>
          <w:p w14:paraId="34C24FFC">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制热量≥45kw；</w:t>
            </w:r>
          </w:p>
        </w:tc>
        <w:tc>
          <w:tcPr>
            <w:tcW w:w="395" w:type="dxa"/>
            <w:tcBorders>
              <w:top w:val="single" w:color="auto" w:sz="4" w:space="0"/>
              <w:left w:val="single" w:color="auto" w:sz="4" w:space="0"/>
              <w:bottom w:val="single" w:color="auto" w:sz="4" w:space="0"/>
              <w:right w:val="single" w:color="auto" w:sz="4" w:space="0"/>
            </w:tcBorders>
            <w:noWrap/>
            <w:vAlign w:val="center"/>
          </w:tcPr>
          <w:p w14:paraId="3A60B784">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组</w:t>
            </w:r>
          </w:p>
        </w:tc>
        <w:tc>
          <w:tcPr>
            <w:tcW w:w="746" w:type="dxa"/>
            <w:tcBorders>
              <w:top w:val="single" w:color="auto" w:sz="4" w:space="0"/>
              <w:left w:val="single" w:color="auto" w:sz="4" w:space="0"/>
              <w:bottom w:val="single" w:color="auto" w:sz="4" w:space="0"/>
              <w:right w:val="single" w:color="auto" w:sz="4" w:space="0"/>
            </w:tcBorders>
            <w:noWrap/>
            <w:vAlign w:val="center"/>
          </w:tcPr>
          <w:p w14:paraId="55B6EEC1">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773" w:type="dxa"/>
            <w:tcBorders>
              <w:top w:val="single" w:color="auto" w:sz="4" w:space="0"/>
              <w:left w:val="single" w:color="auto" w:sz="4" w:space="0"/>
              <w:bottom w:val="single" w:color="auto" w:sz="4" w:space="0"/>
              <w:right w:val="single" w:color="auto" w:sz="4" w:space="0"/>
            </w:tcBorders>
            <w:noWrap/>
            <w:vAlign w:val="center"/>
          </w:tcPr>
          <w:p w14:paraId="6C3AF0BC">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5C35DF2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537BBEC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r>
      <w:tr w14:paraId="6883377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51"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0DB6DF2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4</w:t>
            </w:r>
          </w:p>
        </w:tc>
        <w:tc>
          <w:tcPr>
            <w:tcW w:w="2075" w:type="dxa"/>
            <w:tcBorders>
              <w:top w:val="single" w:color="auto" w:sz="4" w:space="0"/>
              <w:left w:val="single" w:color="auto" w:sz="4" w:space="0"/>
              <w:bottom w:val="single" w:color="auto" w:sz="4" w:space="0"/>
              <w:right w:val="single" w:color="auto" w:sz="4" w:space="0"/>
            </w:tcBorders>
            <w:noWrap/>
            <w:vAlign w:val="center"/>
          </w:tcPr>
          <w:p w14:paraId="7520B14B">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空调嵌入式室内机</w:t>
            </w:r>
          </w:p>
        </w:tc>
        <w:tc>
          <w:tcPr>
            <w:tcW w:w="2686" w:type="dxa"/>
            <w:tcBorders>
              <w:top w:val="single" w:color="auto" w:sz="4" w:space="0"/>
              <w:left w:val="single" w:color="auto" w:sz="4" w:space="0"/>
              <w:bottom w:val="single" w:color="auto" w:sz="4" w:space="0"/>
              <w:right w:val="single" w:color="auto" w:sz="4" w:space="0"/>
            </w:tcBorders>
            <w:noWrap w:val="0"/>
            <w:vAlign w:val="center"/>
          </w:tcPr>
          <w:p w14:paraId="5366A396">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根据设计图纸配置</w:t>
            </w:r>
          </w:p>
        </w:tc>
        <w:tc>
          <w:tcPr>
            <w:tcW w:w="395" w:type="dxa"/>
            <w:tcBorders>
              <w:top w:val="single" w:color="auto" w:sz="4" w:space="0"/>
              <w:left w:val="single" w:color="auto" w:sz="4" w:space="0"/>
              <w:bottom w:val="single" w:color="auto" w:sz="4" w:space="0"/>
              <w:right w:val="single" w:color="auto" w:sz="4" w:space="0"/>
            </w:tcBorders>
            <w:noWrap/>
            <w:vAlign w:val="center"/>
          </w:tcPr>
          <w:p w14:paraId="774D812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台</w:t>
            </w:r>
          </w:p>
        </w:tc>
        <w:tc>
          <w:tcPr>
            <w:tcW w:w="746" w:type="dxa"/>
            <w:tcBorders>
              <w:top w:val="single" w:color="auto" w:sz="4" w:space="0"/>
              <w:left w:val="single" w:color="auto" w:sz="4" w:space="0"/>
              <w:bottom w:val="single" w:color="auto" w:sz="4" w:space="0"/>
              <w:right w:val="single" w:color="auto" w:sz="4" w:space="0"/>
            </w:tcBorders>
            <w:noWrap/>
            <w:vAlign w:val="center"/>
          </w:tcPr>
          <w:p w14:paraId="0629B5D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38</w:t>
            </w:r>
          </w:p>
        </w:tc>
        <w:tc>
          <w:tcPr>
            <w:tcW w:w="773" w:type="dxa"/>
            <w:tcBorders>
              <w:top w:val="single" w:color="auto" w:sz="4" w:space="0"/>
              <w:left w:val="single" w:color="auto" w:sz="4" w:space="0"/>
              <w:bottom w:val="single" w:color="auto" w:sz="4" w:space="0"/>
              <w:right w:val="single" w:color="auto" w:sz="4" w:space="0"/>
            </w:tcBorders>
            <w:noWrap/>
            <w:vAlign w:val="center"/>
          </w:tcPr>
          <w:p w14:paraId="6242F95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0E26D06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08719C96">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rPr>
              <w:t>含室内机控制面板施工</w:t>
            </w:r>
          </w:p>
        </w:tc>
      </w:tr>
      <w:tr w14:paraId="1EC4AD2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27AC3A44">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5</w:t>
            </w:r>
          </w:p>
        </w:tc>
        <w:tc>
          <w:tcPr>
            <w:tcW w:w="2075" w:type="dxa"/>
            <w:tcBorders>
              <w:top w:val="single" w:color="auto" w:sz="4" w:space="0"/>
              <w:left w:val="single" w:color="auto" w:sz="4" w:space="0"/>
              <w:bottom w:val="single" w:color="auto" w:sz="4" w:space="0"/>
              <w:right w:val="single" w:color="auto" w:sz="4" w:space="0"/>
            </w:tcBorders>
            <w:noWrap/>
            <w:vAlign w:val="center"/>
          </w:tcPr>
          <w:p w14:paraId="5E5DD00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新风系统室外机1</w:t>
            </w:r>
          </w:p>
        </w:tc>
        <w:tc>
          <w:tcPr>
            <w:tcW w:w="2686" w:type="dxa"/>
            <w:tcBorders>
              <w:top w:val="single" w:color="auto" w:sz="4" w:space="0"/>
              <w:left w:val="single" w:color="auto" w:sz="4" w:space="0"/>
              <w:bottom w:val="single" w:color="auto" w:sz="4" w:space="0"/>
              <w:right w:val="single" w:color="auto" w:sz="4" w:space="0"/>
            </w:tcBorders>
            <w:noWrap/>
            <w:vAlign w:val="center"/>
          </w:tcPr>
          <w:p w14:paraId="0DC3EDD8">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制冷量≥28kw；</w:t>
            </w:r>
          </w:p>
          <w:p w14:paraId="7A69340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制热量≥31.5kw；</w:t>
            </w: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7F536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组</w:t>
            </w:r>
          </w:p>
        </w:tc>
        <w:tc>
          <w:tcPr>
            <w:tcW w:w="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57AC9E">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w:t>
            </w:r>
          </w:p>
        </w:tc>
        <w:tc>
          <w:tcPr>
            <w:tcW w:w="773" w:type="dxa"/>
            <w:tcBorders>
              <w:top w:val="single" w:color="auto" w:sz="4" w:space="0"/>
              <w:left w:val="single" w:color="auto" w:sz="4" w:space="0"/>
              <w:bottom w:val="single" w:color="auto" w:sz="4" w:space="0"/>
              <w:right w:val="single" w:color="auto" w:sz="4" w:space="0"/>
            </w:tcBorders>
            <w:noWrap/>
            <w:vAlign w:val="center"/>
          </w:tcPr>
          <w:p w14:paraId="6C0599A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39AE007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062BEAFD">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r>
      <w:tr w14:paraId="7581C67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623" w:hRule="atLeast"/>
          <w:jc w:val="center"/>
        </w:trPr>
        <w:tc>
          <w:tcPr>
            <w:tcW w:w="568" w:type="dxa"/>
            <w:tcBorders>
              <w:top w:val="single" w:color="auto" w:sz="4" w:space="0"/>
              <w:left w:val="single" w:color="auto" w:sz="4" w:space="0"/>
              <w:bottom w:val="single" w:color="auto" w:sz="4" w:space="0"/>
              <w:right w:val="single" w:color="auto" w:sz="4" w:space="0"/>
            </w:tcBorders>
            <w:noWrap/>
            <w:vAlign w:val="center"/>
          </w:tcPr>
          <w:p w14:paraId="65F3E09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6</w:t>
            </w:r>
          </w:p>
        </w:tc>
        <w:tc>
          <w:tcPr>
            <w:tcW w:w="2075" w:type="dxa"/>
            <w:tcBorders>
              <w:top w:val="single" w:color="auto" w:sz="4" w:space="0"/>
              <w:left w:val="single" w:color="auto" w:sz="4" w:space="0"/>
              <w:bottom w:val="single" w:color="auto" w:sz="4" w:space="0"/>
              <w:right w:val="single" w:color="auto" w:sz="4" w:space="0"/>
            </w:tcBorders>
            <w:noWrap/>
            <w:vAlign w:val="center"/>
          </w:tcPr>
          <w:p w14:paraId="5A7E1EAE">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新风系统室外机2</w:t>
            </w:r>
          </w:p>
        </w:tc>
        <w:tc>
          <w:tcPr>
            <w:tcW w:w="2686" w:type="dxa"/>
            <w:tcBorders>
              <w:top w:val="single" w:color="auto" w:sz="4" w:space="0"/>
              <w:left w:val="single" w:color="auto" w:sz="4" w:space="0"/>
              <w:bottom w:val="single" w:color="auto" w:sz="4" w:space="0"/>
              <w:right w:val="single" w:color="auto" w:sz="4" w:space="0"/>
            </w:tcBorders>
            <w:noWrap/>
            <w:vAlign w:val="center"/>
          </w:tcPr>
          <w:p w14:paraId="2A31DB8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制冷量：≥22.4kW</w:t>
            </w:r>
          </w:p>
          <w:p w14:paraId="0C1E466A">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default"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制热量≥25kw；</w:t>
            </w:r>
          </w:p>
        </w:tc>
        <w:tc>
          <w:tcPr>
            <w:tcW w:w="395" w:type="dxa"/>
            <w:tcBorders>
              <w:top w:val="single" w:color="auto" w:sz="4" w:space="0"/>
              <w:left w:val="single" w:color="auto" w:sz="4" w:space="0"/>
              <w:bottom w:val="single" w:color="auto" w:sz="4" w:space="0"/>
              <w:right w:val="single" w:color="auto" w:sz="4" w:space="0"/>
            </w:tcBorders>
            <w:noWrap/>
            <w:vAlign w:val="center"/>
          </w:tcPr>
          <w:p w14:paraId="5D688A5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组</w:t>
            </w:r>
          </w:p>
        </w:tc>
        <w:tc>
          <w:tcPr>
            <w:tcW w:w="746" w:type="dxa"/>
            <w:tcBorders>
              <w:top w:val="single" w:color="auto" w:sz="4" w:space="0"/>
              <w:left w:val="single" w:color="auto" w:sz="4" w:space="0"/>
              <w:bottom w:val="single" w:color="auto" w:sz="4" w:space="0"/>
              <w:right w:val="single" w:color="auto" w:sz="4" w:space="0"/>
            </w:tcBorders>
            <w:noWrap/>
            <w:vAlign w:val="center"/>
          </w:tcPr>
          <w:p w14:paraId="5A9EC80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w:t>
            </w:r>
          </w:p>
        </w:tc>
        <w:tc>
          <w:tcPr>
            <w:tcW w:w="773" w:type="dxa"/>
            <w:tcBorders>
              <w:top w:val="single" w:color="auto" w:sz="4" w:space="0"/>
              <w:left w:val="single" w:color="auto" w:sz="4" w:space="0"/>
              <w:bottom w:val="single" w:color="auto" w:sz="4" w:space="0"/>
              <w:right w:val="single" w:color="auto" w:sz="4" w:space="0"/>
            </w:tcBorders>
            <w:noWrap/>
            <w:vAlign w:val="center"/>
          </w:tcPr>
          <w:p w14:paraId="46198C05">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4E2DFFE1">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24479A8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r>
      <w:tr w14:paraId="057F06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1105" w:hRule="atLeast"/>
          <w:jc w:val="center"/>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D3DF6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7</w:t>
            </w:r>
          </w:p>
        </w:tc>
        <w:tc>
          <w:tcPr>
            <w:tcW w:w="20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58EE6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left"/>
              <w:textAlignment w:val="auto"/>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新风系统室内机1</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2804C0">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风扇风量：≥2000 m3/h</w:t>
            </w:r>
          </w:p>
          <w:p w14:paraId="7B49DDD6">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制冷量：≥28kW</w:t>
            </w:r>
          </w:p>
          <w:p w14:paraId="1E98FF6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制热量：≥17.4kW</w:t>
            </w: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E48F3E">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台</w:t>
            </w:r>
          </w:p>
        </w:tc>
        <w:tc>
          <w:tcPr>
            <w:tcW w:w="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9B49A">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2</w:t>
            </w:r>
          </w:p>
        </w:tc>
        <w:tc>
          <w:tcPr>
            <w:tcW w:w="773" w:type="dxa"/>
            <w:tcBorders>
              <w:top w:val="single" w:color="auto" w:sz="4" w:space="0"/>
              <w:left w:val="single" w:color="auto" w:sz="4" w:space="0"/>
              <w:bottom w:val="single" w:color="auto" w:sz="4" w:space="0"/>
              <w:right w:val="single" w:color="auto" w:sz="4" w:space="0"/>
            </w:tcBorders>
            <w:noWrap/>
            <w:vAlign w:val="center"/>
          </w:tcPr>
          <w:p w14:paraId="2F13724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noWrap/>
            <w:vAlign w:val="center"/>
          </w:tcPr>
          <w:p w14:paraId="5042D51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noWrap/>
            <w:vAlign w:val="center"/>
          </w:tcPr>
          <w:p w14:paraId="4A825908">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center"/>
              <w:textAlignment w:val="auto"/>
              <w:rPr>
                <w:rFonts w:hint="eastAsia"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rPr>
              <w:t>含室内机控制面板</w:t>
            </w:r>
          </w:p>
        </w:tc>
      </w:tr>
      <w:tr w14:paraId="2786293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929" w:hRule="atLeast"/>
          <w:jc w:val="center"/>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2AA0DC">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8</w:t>
            </w:r>
          </w:p>
        </w:tc>
        <w:tc>
          <w:tcPr>
            <w:tcW w:w="20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03169A">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left"/>
              <w:textAlignment w:val="auto"/>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新风系统室内机2</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46437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风扇风量：≥1500 m3/h</w:t>
            </w:r>
          </w:p>
          <w:p w14:paraId="77B40FA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sz w:val="24"/>
                <w:szCs w:val="24"/>
                <w:highlight w:val="none"/>
                <w:u w:val="single"/>
                <w:lang w:val="en-US" w:eastAsia="zh-CN"/>
              </w:rPr>
            </w:pPr>
            <w:r>
              <w:rPr>
                <w:rFonts w:hint="eastAsia" w:ascii="宋体" w:hAnsi="宋体" w:eastAsia="宋体" w:cs="宋体"/>
                <w:b/>
                <w:bCs/>
                <w:i/>
                <w:iCs/>
                <w:color w:val="000000"/>
                <w:sz w:val="24"/>
                <w:szCs w:val="24"/>
                <w:highlight w:val="none"/>
                <w:u w:val="single"/>
                <w:lang w:val="en-US" w:eastAsia="zh-CN"/>
              </w:rPr>
              <w:t>制冷量：≥22.4kW</w:t>
            </w:r>
          </w:p>
          <w:p w14:paraId="139C8E07">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Chars="0"/>
              <w:jc w:val="left"/>
              <w:textAlignment w:val="auto"/>
              <w:rPr>
                <w:rFonts w:hint="eastAsia" w:ascii="宋体" w:hAnsi="宋体" w:eastAsia="宋体" w:cs="宋体"/>
                <w:b/>
                <w:bCs/>
                <w:i/>
                <w:iCs/>
                <w:color w:val="000000"/>
                <w:kern w:val="2"/>
                <w:sz w:val="24"/>
                <w:szCs w:val="24"/>
                <w:highlight w:val="none"/>
                <w:u w:val="single"/>
                <w:lang w:val="en-US" w:eastAsia="zh-CN" w:bidi="ar-SA"/>
              </w:rPr>
            </w:pPr>
            <w:r>
              <w:rPr>
                <w:rFonts w:hint="eastAsia" w:ascii="宋体" w:hAnsi="宋体" w:eastAsia="宋体" w:cs="宋体"/>
                <w:b/>
                <w:bCs/>
                <w:i/>
                <w:iCs/>
                <w:color w:val="000000"/>
                <w:sz w:val="24"/>
                <w:szCs w:val="24"/>
                <w:highlight w:val="none"/>
                <w:u w:val="single"/>
                <w:lang w:val="en-US" w:eastAsia="zh-CN"/>
              </w:rPr>
              <w:t>制热量：≥13.9kW</w:t>
            </w: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90EEF4">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台</w:t>
            </w:r>
          </w:p>
        </w:tc>
        <w:tc>
          <w:tcPr>
            <w:tcW w:w="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E1D285">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1</w:t>
            </w:r>
          </w:p>
        </w:tc>
        <w:tc>
          <w:tcPr>
            <w:tcW w:w="7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7B8A4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6DF414">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9B3B9">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rPr>
              <w:t>含室内机控制面板</w:t>
            </w:r>
          </w:p>
        </w:tc>
      </w:tr>
      <w:tr w14:paraId="27582B9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66" w:hRule="atLeast"/>
          <w:jc w:val="center"/>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27D46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w:t>
            </w:r>
          </w:p>
        </w:tc>
        <w:tc>
          <w:tcPr>
            <w:tcW w:w="20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EAD142">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left"/>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变频一拖一空调</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639C72">
            <w:pPr>
              <w:keepNext w:val="0"/>
              <w:keepLines w:val="0"/>
              <w:pageBreakBefore w:val="0"/>
              <w:numPr>
                <w:ilvl w:val="0"/>
                <w:numId w:val="0"/>
              </w:numPr>
              <w:kinsoku/>
              <w:wordWrap/>
              <w:overflowPunct/>
              <w:topLinePunct w:val="0"/>
              <w:autoSpaceDE/>
              <w:autoSpaceDN/>
              <w:bidi w:val="0"/>
              <w:adjustRightInd/>
              <w:spacing w:line="240" w:lineRule="auto"/>
              <w:ind w:left="0" w:leftChars="0" w:firstLine="0" w:firstLineChars="0"/>
              <w:jc w:val="left"/>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嵌入式室内机，2匹</w:t>
            </w: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9AA735">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套</w:t>
            </w:r>
          </w:p>
        </w:tc>
        <w:tc>
          <w:tcPr>
            <w:tcW w:w="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0D6C3">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1</w:t>
            </w:r>
          </w:p>
        </w:tc>
        <w:tc>
          <w:tcPr>
            <w:tcW w:w="7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37904F">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F5ADF6">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p>
        </w:tc>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CB0CCB">
            <w:pPr>
              <w:keepNext w:val="0"/>
              <w:keepLines w:val="0"/>
              <w:pageBreakBefore w:val="0"/>
              <w:widowControl/>
              <w:numPr>
                <w:ilvl w:val="0"/>
                <w:numId w:val="0"/>
              </w:numPr>
              <w:suppressLineNumbers w:val="0"/>
              <w:kinsoku/>
              <w:wordWrap/>
              <w:overflowPunct/>
              <w:topLinePunct w:val="0"/>
              <w:autoSpaceDE/>
              <w:autoSpaceDN/>
              <w:bidi w:val="0"/>
              <w:adjustRightInd/>
              <w:spacing w:line="240" w:lineRule="auto"/>
              <w:ind w:left="0" w:leftChars="0" w:firstLine="0" w:firstLineChars="0"/>
              <w:jc w:val="center"/>
              <w:textAlignment w:val="auto"/>
              <w:rPr>
                <w:rFonts w:hint="eastAsia" w:ascii="宋体" w:hAnsi="宋体" w:eastAsia="宋体" w:cs="宋体"/>
                <w:i w:val="0"/>
                <w:iCs w:val="0"/>
                <w:color w:val="000000"/>
                <w:kern w:val="2"/>
                <w:sz w:val="24"/>
                <w:szCs w:val="24"/>
                <w:highlight w:val="none"/>
                <w:u w:val="none"/>
                <w:lang w:val="en-US" w:eastAsia="zh-CN" w:bidi="ar"/>
              </w:rPr>
            </w:pPr>
          </w:p>
        </w:tc>
      </w:tr>
    </w:tbl>
    <w:p w14:paraId="5169D9A0">
      <w:pPr>
        <w:keepNext w:val="0"/>
        <w:keepLines w:val="0"/>
        <w:pageBreakBefore w:val="0"/>
        <w:widowControl w:val="0"/>
        <w:kinsoku/>
        <w:wordWrap/>
        <w:overflowPunct/>
        <w:topLinePunct w:val="0"/>
        <w:autoSpaceDE/>
        <w:autoSpaceDN/>
        <w:bidi w:val="0"/>
        <w:adjustRightInd/>
        <w:snapToGrid/>
        <w:spacing w:line="400" w:lineRule="exact"/>
        <w:ind w:left="0"/>
        <w:jc w:val="both"/>
        <w:textAlignment w:val="auto"/>
        <w:rPr>
          <w:rFonts w:hint="eastAsia" w:ascii="Times New Roman" w:hAnsi="Times New Roman" w:eastAsia="宋体" w:cs="Times New Roman"/>
          <w:color w:val="000000" w:themeColor="text1"/>
          <w:spacing w:val="-3"/>
          <w:sz w:val="28"/>
          <w:szCs w:val="28"/>
          <w:lang w:val="en-US" w:eastAsia="zh-CN"/>
          <w14:textFill>
            <w14:solidFill>
              <w14:schemeClr w14:val="tx1"/>
            </w14:solidFill>
          </w14:textFill>
        </w:rPr>
      </w:pPr>
    </w:p>
    <w:p w14:paraId="586803E8">
      <w:pPr>
        <w:keepNext w:val="0"/>
        <w:keepLines w:val="0"/>
        <w:pageBreakBefore w:val="0"/>
        <w:widowControl w:val="0"/>
        <w:kinsoku/>
        <w:wordWrap/>
        <w:overflowPunct/>
        <w:topLinePunct w:val="0"/>
        <w:autoSpaceDE/>
        <w:autoSpaceDN/>
        <w:bidi w:val="0"/>
        <w:adjustRightInd/>
        <w:snapToGrid/>
        <w:spacing w:line="400" w:lineRule="exact"/>
        <w:ind w:left="0"/>
        <w:jc w:val="both"/>
        <w:textAlignment w:val="auto"/>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2.设备安装及辅材部分</w:t>
      </w:r>
    </w:p>
    <w:tbl>
      <w:tblPr>
        <w:tblStyle w:val="8"/>
        <w:tblW w:w="8868"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601"/>
        <w:gridCol w:w="2742"/>
        <w:gridCol w:w="2498"/>
        <w:gridCol w:w="698"/>
        <w:gridCol w:w="873"/>
        <w:gridCol w:w="1456"/>
      </w:tblGrid>
      <w:tr w14:paraId="75923BA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576BC0FE">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序号</w:t>
            </w:r>
          </w:p>
        </w:tc>
        <w:tc>
          <w:tcPr>
            <w:tcW w:w="2742" w:type="dxa"/>
            <w:tcBorders>
              <w:top w:val="single" w:color="auto" w:sz="4" w:space="0"/>
              <w:left w:val="single" w:color="auto" w:sz="4" w:space="0"/>
              <w:bottom w:val="single" w:color="auto" w:sz="4" w:space="0"/>
              <w:right w:val="single" w:color="auto" w:sz="4" w:space="0"/>
            </w:tcBorders>
            <w:noWrap/>
            <w:vAlign w:val="center"/>
          </w:tcPr>
          <w:p w14:paraId="33485EE6">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名称</w:t>
            </w:r>
          </w:p>
        </w:tc>
        <w:tc>
          <w:tcPr>
            <w:tcW w:w="2498" w:type="dxa"/>
            <w:tcBorders>
              <w:top w:val="single" w:color="auto" w:sz="4" w:space="0"/>
              <w:left w:val="single" w:color="auto" w:sz="4" w:space="0"/>
              <w:bottom w:val="single" w:color="auto" w:sz="4" w:space="0"/>
              <w:right w:val="single" w:color="auto" w:sz="4" w:space="0"/>
            </w:tcBorders>
            <w:noWrap/>
            <w:vAlign w:val="center"/>
          </w:tcPr>
          <w:p w14:paraId="770A1DCF">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规格参数</w:t>
            </w:r>
          </w:p>
        </w:tc>
        <w:tc>
          <w:tcPr>
            <w:tcW w:w="698" w:type="dxa"/>
            <w:tcBorders>
              <w:top w:val="single" w:color="auto" w:sz="4" w:space="0"/>
              <w:left w:val="single" w:color="auto" w:sz="4" w:space="0"/>
              <w:bottom w:val="single" w:color="auto" w:sz="4" w:space="0"/>
              <w:right w:val="single" w:color="auto" w:sz="4" w:space="0"/>
            </w:tcBorders>
            <w:noWrap/>
            <w:vAlign w:val="center"/>
          </w:tcPr>
          <w:p w14:paraId="723D6901">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单位</w:t>
            </w:r>
          </w:p>
        </w:tc>
        <w:tc>
          <w:tcPr>
            <w:tcW w:w="873" w:type="dxa"/>
            <w:tcBorders>
              <w:top w:val="single" w:color="auto" w:sz="4" w:space="0"/>
              <w:left w:val="single" w:color="auto" w:sz="4" w:space="0"/>
              <w:bottom w:val="single" w:color="auto" w:sz="4" w:space="0"/>
              <w:right w:val="single" w:color="auto" w:sz="4" w:space="0"/>
            </w:tcBorders>
            <w:noWrap/>
            <w:vAlign w:val="center"/>
          </w:tcPr>
          <w:p w14:paraId="69BA6454">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bidi="ar"/>
              </w:rPr>
              <w:t>数量</w:t>
            </w:r>
          </w:p>
        </w:tc>
        <w:tc>
          <w:tcPr>
            <w:tcW w:w="1456" w:type="dxa"/>
            <w:tcBorders>
              <w:top w:val="single" w:color="auto" w:sz="4" w:space="0"/>
              <w:left w:val="single" w:color="auto" w:sz="4" w:space="0"/>
              <w:bottom w:val="single" w:color="auto" w:sz="4" w:space="0"/>
              <w:right w:val="single" w:color="auto" w:sz="4" w:space="0"/>
            </w:tcBorders>
            <w:noWrap/>
            <w:vAlign w:val="center"/>
          </w:tcPr>
          <w:p w14:paraId="66F9A0F8">
            <w:pPr>
              <w:keepNext w:val="0"/>
              <w:keepLines w:val="0"/>
              <w:widowControl/>
              <w:numPr>
                <w:ilvl w:val="0"/>
                <w:numId w:val="0"/>
              </w:numPr>
              <w:suppressLineNumbers w:val="0"/>
              <w:spacing w:line="240" w:lineRule="auto"/>
              <w:ind w:leftChars="0"/>
              <w:jc w:val="center"/>
              <w:rPr>
                <w:rFonts w:hint="eastAsia" w:ascii="宋体" w:hAnsi="宋体" w:eastAsia="宋体" w:cs="宋体"/>
                <w:b/>
                <w:bCs/>
                <w:i w:val="0"/>
                <w:iCs w:val="0"/>
                <w:color w:val="000000"/>
                <w:sz w:val="24"/>
                <w:szCs w:val="24"/>
                <w:highlight w:val="none"/>
                <w:u w:val="none"/>
                <w:lang w:val="en-US" w:eastAsia="zh-CN" w:bidi="ar"/>
              </w:rPr>
            </w:pPr>
            <w:r>
              <w:rPr>
                <w:rFonts w:hint="eastAsia" w:ascii="宋体" w:hAnsi="宋体" w:eastAsia="宋体" w:cs="宋体"/>
                <w:b/>
                <w:bCs/>
                <w:i w:val="0"/>
                <w:iCs w:val="0"/>
                <w:color w:val="000000"/>
                <w:sz w:val="24"/>
                <w:szCs w:val="24"/>
                <w:highlight w:val="none"/>
                <w:u w:val="none"/>
                <w:lang w:val="en-US" w:eastAsia="zh-CN" w:bidi="ar"/>
              </w:rPr>
              <w:t>备注</w:t>
            </w:r>
          </w:p>
        </w:tc>
      </w:tr>
      <w:tr w14:paraId="0FC08AD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60"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4863DE43">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2742" w:type="dxa"/>
            <w:tcBorders>
              <w:top w:val="single" w:color="auto" w:sz="4" w:space="0"/>
              <w:left w:val="single" w:color="auto" w:sz="4" w:space="0"/>
              <w:bottom w:val="single" w:color="auto" w:sz="4" w:space="0"/>
              <w:right w:val="single" w:color="auto" w:sz="4" w:space="0"/>
            </w:tcBorders>
            <w:noWrap/>
            <w:vAlign w:val="center"/>
          </w:tcPr>
          <w:p w14:paraId="6A25B51D">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冷媒管含保温及配件</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374914D">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根据设计图纸配置</w:t>
            </w:r>
          </w:p>
        </w:tc>
        <w:tc>
          <w:tcPr>
            <w:tcW w:w="698" w:type="dxa"/>
            <w:tcBorders>
              <w:top w:val="single" w:color="auto" w:sz="4" w:space="0"/>
              <w:left w:val="single" w:color="auto" w:sz="4" w:space="0"/>
              <w:bottom w:val="single" w:color="auto" w:sz="4" w:space="0"/>
              <w:right w:val="single" w:color="auto" w:sz="4" w:space="0"/>
            </w:tcBorders>
            <w:noWrap/>
            <w:vAlign w:val="center"/>
          </w:tcPr>
          <w:p w14:paraId="2FB799D3">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项</w:t>
            </w:r>
          </w:p>
        </w:tc>
        <w:tc>
          <w:tcPr>
            <w:tcW w:w="873" w:type="dxa"/>
            <w:tcBorders>
              <w:top w:val="single" w:color="auto" w:sz="4" w:space="0"/>
              <w:left w:val="single" w:color="auto" w:sz="4" w:space="0"/>
              <w:bottom w:val="single" w:color="auto" w:sz="4" w:space="0"/>
              <w:right w:val="single" w:color="auto" w:sz="4" w:space="0"/>
            </w:tcBorders>
            <w:noWrap/>
            <w:vAlign w:val="center"/>
          </w:tcPr>
          <w:p w14:paraId="18F8097F">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1456" w:type="dxa"/>
            <w:tcBorders>
              <w:top w:val="single" w:color="auto" w:sz="4" w:space="0"/>
              <w:left w:val="single" w:color="auto" w:sz="4" w:space="0"/>
              <w:bottom w:val="single" w:color="auto" w:sz="4" w:space="0"/>
              <w:right w:val="single" w:color="auto" w:sz="4" w:space="0"/>
            </w:tcBorders>
            <w:noWrap/>
            <w:vAlign w:val="center"/>
          </w:tcPr>
          <w:p w14:paraId="575305CC">
            <w:pPr>
              <w:keepNext w:val="0"/>
              <w:keepLines w:val="0"/>
              <w:widowControl/>
              <w:numPr>
                <w:ilvl w:val="0"/>
                <w:numId w:val="0"/>
              </w:numPr>
              <w:suppressLineNumbers w:val="0"/>
              <w:ind w:leftChars="0"/>
              <w:jc w:val="center"/>
              <w:rPr>
                <w:rFonts w:hint="eastAsia" w:ascii="宋体" w:hAnsi="宋体" w:eastAsia="宋体" w:cs="宋体"/>
                <w:i w:val="0"/>
                <w:iCs w:val="0"/>
                <w:color w:val="000000"/>
                <w:sz w:val="24"/>
                <w:szCs w:val="24"/>
                <w:highlight w:val="none"/>
                <w:u w:val="none"/>
                <w:lang w:val="en-US" w:eastAsia="zh-CN" w:bidi="ar"/>
              </w:rPr>
            </w:pPr>
          </w:p>
        </w:tc>
      </w:tr>
      <w:tr w14:paraId="36B7E0D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14"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6A5987C5">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2</w:t>
            </w:r>
          </w:p>
        </w:tc>
        <w:tc>
          <w:tcPr>
            <w:tcW w:w="2742" w:type="dxa"/>
            <w:tcBorders>
              <w:top w:val="single" w:color="auto" w:sz="4" w:space="0"/>
              <w:left w:val="single" w:color="auto" w:sz="4" w:space="0"/>
              <w:bottom w:val="single" w:color="auto" w:sz="4" w:space="0"/>
              <w:right w:val="single" w:color="auto" w:sz="4" w:space="0"/>
            </w:tcBorders>
            <w:noWrap/>
            <w:vAlign w:val="center"/>
          </w:tcPr>
          <w:p w14:paraId="1D35BCCF">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冷凝水管含保温及配件</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7F25B29">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根据设计图纸配置</w:t>
            </w:r>
          </w:p>
        </w:tc>
        <w:tc>
          <w:tcPr>
            <w:tcW w:w="698" w:type="dxa"/>
            <w:tcBorders>
              <w:top w:val="single" w:color="auto" w:sz="4" w:space="0"/>
              <w:left w:val="single" w:color="auto" w:sz="4" w:space="0"/>
              <w:bottom w:val="single" w:color="auto" w:sz="4" w:space="0"/>
              <w:right w:val="single" w:color="auto" w:sz="4" w:space="0"/>
            </w:tcBorders>
            <w:noWrap/>
            <w:vAlign w:val="center"/>
          </w:tcPr>
          <w:p w14:paraId="61C63D44">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项</w:t>
            </w:r>
          </w:p>
        </w:tc>
        <w:tc>
          <w:tcPr>
            <w:tcW w:w="873" w:type="dxa"/>
            <w:tcBorders>
              <w:top w:val="single" w:color="auto" w:sz="4" w:space="0"/>
              <w:left w:val="single" w:color="auto" w:sz="4" w:space="0"/>
              <w:bottom w:val="single" w:color="auto" w:sz="4" w:space="0"/>
              <w:right w:val="single" w:color="auto" w:sz="4" w:space="0"/>
            </w:tcBorders>
            <w:noWrap/>
            <w:vAlign w:val="center"/>
          </w:tcPr>
          <w:p w14:paraId="44B43704">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1</w:t>
            </w:r>
          </w:p>
        </w:tc>
        <w:tc>
          <w:tcPr>
            <w:tcW w:w="1456" w:type="dxa"/>
            <w:tcBorders>
              <w:top w:val="single" w:color="auto" w:sz="4" w:space="0"/>
              <w:left w:val="single" w:color="auto" w:sz="4" w:space="0"/>
              <w:bottom w:val="single" w:color="auto" w:sz="4" w:space="0"/>
              <w:right w:val="single" w:color="auto" w:sz="4" w:space="0"/>
            </w:tcBorders>
            <w:noWrap/>
            <w:vAlign w:val="center"/>
          </w:tcPr>
          <w:p w14:paraId="7D127482">
            <w:pPr>
              <w:keepNext w:val="0"/>
              <w:keepLines w:val="0"/>
              <w:widowControl/>
              <w:numPr>
                <w:ilvl w:val="0"/>
                <w:numId w:val="0"/>
              </w:numPr>
              <w:suppressLineNumbers w:val="0"/>
              <w:ind w:leftChars="0"/>
              <w:jc w:val="center"/>
              <w:rPr>
                <w:rFonts w:hint="eastAsia" w:ascii="宋体" w:hAnsi="宋体" w:eastAsia="宋体" w:cs="宋体"/>
                <w:i w:val="0"/>
                <w:iCs w:val="0"/>
                <w:color w:val="000000"/>
                <w:sz w:val="24"/>
                <w:szCs w:val="24"/>
                <w:highlight w:val="none"/>
                <w:u w:val="none"/>
                <w:lang w:val="en-US" w:eastAsia="zh-CN" w:bidi="ar"/>
              </w:rPr>
            </w:pPr>
          </w:p>
        </w:tc>
      </w:tr>
      <w:tr w14:paraId="3A1AF9C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33"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6A7EC277">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3</w:t>
            </w:r>
          </w:p>
        </w:tc>
        <w:tc>
          <w:tcPr>
            <w:tcW w:w="2742" w:type="dxa"/>
            <w:tcBorders>
              <w:top w:val="single" w:color="auto" w:sz="4" w:space="0"/>
              <w:left w:val="single" w:color="auto" w:sz="4" w:space="0"/>
              <w:bottom w:val="single" w:color="auto" w:sz="4" w:space="0"/>
              <w:right w:val="single" w:color="auto" w:sz="4" w:space="0"/>
            </w:tcBorders>
            <w:noWrap/>
            <w:vAlign w:val="center"/>
          </w:tcPr>
          <w:p w14:paraId="7A201072">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定制防雨百叶</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B04FB92">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根据设计图纸配置</w:t>
            </w:r>
          </w:p>
        </w:tc>
        <w:tc>
          <w:tcPr>
            <w:tcW w:w="698" w:type="dxa"/>
            <w:tcBorders>
              <w:top w:val="single" w:color="auto" w:sz="4" w:space="0"/>
              <w:left w:val="single" w:color="auto" w:sz="4" w:space="0"/>
              <w:bottom w:val="single" w:color="auto" w:sz="4" w:space="0"/>
              <w:right w:val="single" w:color="auto" w:sz="4" w:space="0"/>
            </w:tcBorders>
            <w:noWrap/>
            <w:vAlign w:val="center"/>
          </w:tcPr>
          <w:p w14:paraId="528E74AA">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套</w:t>
            </w:r>
          </w:p>
        </w:tc>
        <w:tc>
          <w:tcPr>
            <w:tcW w:w="873" w:type="dxa"/>
            <w:tcBorders>
              <w:top w:val="single" w:color="auto" w:sz="4" w:space="0"/>
              <w:left w:val="single" w:color="auto" w:sz="4" w:space="0"/>
              <w:bottom w:val="single" w:color="auto" w:sz="4" w:space="0"/>
              <w:right w:val="single" w:color="auto" w:sz="4" w:space="0"/>
            </w:tcBorders>
            <w:noWrap/>
            <w:vAlign w:val="center"/>
          </w:tcPr>
          <w:p w14:paraId="5052A7BD">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bidi="ar"/>
              </w:rPr>
              <w:t>3</w:t>
            </w:r>
          </w:p>
        </w:tc>
        <w:tc>
          <w:tcPr>
            <w:tcW w:w="1456" w:type="dxa"/>
            <w:tcBorders>
              <w:top w:val="single" w:color="auto" w:sz="4" w:space="0"/>
              <w:left w:val="single" w:color="auto" w:sz="4" w:space="0"/>
              <w:bottom w:val="single" w:color="auto" w:sz="4" w:space="0"/>
              <w:right w:val="single" w:color="auto" w:sz="4" w:space="0"/>
            </w:tcBorders>
            <w:noWrap/>
            <w:vAlign w:val="center"/>
          </w:tcPr>
          <w:p w14:paraId="73E35BB9">
            <w:pPr>
              <w:keepNext w:val="0"/>
              <w:keepLines w:val="0"/>
              <w:widowControl/>
              <w:numPr>
                <w:ilvl w:val="0"/>
                <w:numId w:val="0"/>
              </w:numPr>
              <w:suppressLineNumbers w:val="0"/>
              <w:ind w:leftChars="0"/>
              <w:jc w:val="both"/>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含拆除及安装</w:t>
            </w:r>
          </w:p>
        </w:tc>
      </w:tr>
      <w:tr w14:paraId="4538378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90"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27403B1C">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4</w:t>
            </w:r>
          </w:p>
        </w:tc>
        <w:tc>
          <w:tcPr>
            <w:tcW w:w="2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6F84E0">
            <w:pPr>
              <w:keepNext w:val="0"/>
              <w:keepLines w:val="0"/>
              <w:widowControl/>
              <w:numPr>
                <w:ilvl w:val="0"/>
                <w:numId w:val="0"/>
              </w:numPr>
              <w:suppressLineNumbers w:val="0"/>
              <w:ind w:left="0" w:leftChars="0" w:firstLine="0" w:firstLineChars="0"/>
              <w:jc w:val="both"/>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墙板开孔及恢复</w:t>
            </w:r>
          </w:p>
        </w:tc>
        <w:tc>
          <w:tcPr>
            <w:tcW w:w="249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0E7C7F">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管道井和部分室内机墙板开孔及恢复</w:t>
            </w:r>
          </w:p>
        </w:tc>
        <w:tc>
          <w:tcPr>
            <w:tcW w:w="6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25A401">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项</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B038F">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1</w:t>
            </w:r>
          </w:p>
        </w:tc>
        <w:tc>
          <w:tcPr>
            <w:tcW w:w="1456" w:type="dxa"/>
            <w:tcBorders>
              <w:top w:val="single" w:color="auto" w:sz="4" w:space="0"/>
              <w:left w:val="single" w:color="auto" w:sz="4" w:space="0"/>
              <w:bottom w:val="single" w:color="auto" w:sz="4" w:space="0"/>
              <w:right w:val="single" w:color="auto" w:sz="4" w:space="0"/>
            </w:tcBorders>
            <w:noWrap/>
            <w:vAlign w:val="center"/>
          </w:tcPr>
          <w:p w14:paraId="23BA2F2A">
            <w:pPr>
              <w:keepNext w:val="0"/>
              <w:keepLines w:val="0"/>
              <w:widowControl/>
              <w:numPr>
                <w:ilvl w:val="0"/>
                <w:numId w:val="0"/>
              </w:numPr>
              <w:suppressLineNumbers w:val="0"/>
              <w:ind w:leftChars="0"/>
              <w:jc w:val="center"/>
              <w:rPr>
                <w:rFonts w:hint="eastAsia" w:ascii="宋体" w:hAnsi="宋体" w:eastAsia="宋体" w:cs="宋体"/>
                <w:i w:val="0"/>
                <w:iCs w:val="0"/>
                <w:color w:val="000000"/>
                <w:sz w:val="24"/>
                <w:szCs w:val="24"/>
                <w:highlight w:val="none"/>
                <w:u w:val="none"/>
                <w:lang w:val="en-US" w:eastAsia="zh-CN" w:bidi="ar"/>
              </w:rPr>
            </w:pPr>
          </w:p>
        </w:tc>
      </w:tr>
      <w:tr w14:paraId="6CA3ED5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3215711A">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bidi="ar"/>
              </w:rPr>
              <w:t>5</w:t>
            </w:r>
          </w:p>
        </w:tc>
        <w:tc>
          <w:tcPr>
            <w:tcW w:w="2742" w:type="dxa"/>
            <w:tcBorders>
              <w:top w:val="single" w:color="auto" w:sz="4" w:space="0"/>
              <w:left w:val="single" w:color="auto" w:sz="4" w:space="0"/>
              <w:bottom w:val="single" w:color="auto" w:sz="4" w:space="0"/>
              <w:right w:val="single" w:color="auto" w:sz="4" w:space="0"/>
            </w:tcBorders>
            <w:noWrap/>
            <w:vAlign w:val="center"/>
          </w:tcPr>
          <w:p w14:paraId="24E75C37">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新风镀锌钢板风管</w:t>
            </w:r>
          </w:p>
        </w:tc>
        <w:tc>
          <w:tcPr>
            <w:tcW w:w="2498" w:type="dxa"/>
            <w:tcBorders>
              <w:top w:val="single" w:color="auto" w:sz="4" w:space="0"/>
              <w:left w:val="single" w:color="auto" w:sz="4" w:space="0"/>
              <w:bottom w:val="single" w:color="auto" w:sz="4" w:space="0"/>
              <w:right w:val="single" w:color="auto" w:sz="4" w:space="0"/>
            </w:tcBorders>
            <w:noWrap/>
            <w:vAlign w:val="center"/>
          </w:tcPr>
          <w:p w14:paraId="1A7B4CE8">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厚度1.0mm；</w:t>
            </w:r>
            <w:r>
              <w:rPr>
                <w:rFonts w:hint="eastAsia" w:ascii="宋体" w:hAnsi="宋体" w:eastAsia="宋体" w:cs="宋体"/>
                <w:i w:val="0"/>
                <w:iCs w:val="0"/>
                <w:color w:val="000000"/>
                <w:sz w:val="24"/>
                <w:szCs w:val="24"/>
                <w:highlight w:val="none"/>
                <w:u w:val="none"/>
              </w:rPr>
              <w:t>含</w:t>
            </w:r>
            <w:r>
              <w:rPr>
                <w:rFonts w:hint="eastAsia" w:ascii="宋体" w:hAnsi="宋体" w:eastAsia="宋体" w:cs="宋体"/>
                <w:i w:val="0"/>
                <w:iCs w:val="0"/>
                <w:color w:val="000000"/>
                <w:sz w:val="24"/>
                <w:szCs w:val="24"/>
                <w:highlight w:val="none"/>
                <w:u w:val="none"/>
                <w:lang w:val="en-US" w:eastAsia="zh-CN"/>
              </w:rPr>
              <w:t>保温、新风散流器、防火阀门、</w:t>
            </w:r>
            <w:r>
              <w:rPr>
                <w:rFonts w:hint="eastAsia" w:ascii="宋体" w:hAnsi="宋体" w:eastAsia="宋体" w:cs="宋体"/>
                <w:i w:val="0"/>
                <w:iCs w:val="0"/>
                <w:color w:val="000000"/>
                <w:sz w:val="24"/>
                <w:szCs w:val="24"/>
                <w:highlight w:val="none"/>
                <w:u w:val="none"/>
              </w:rPr>
              <w:t>吊筋，</w:t>
            </w:r>
            <w:r>
              <w:rPr>
                <w:rFonts w:hint="eastAsia" w:ascii="宋体" w:hAnsi="宋体" w:eastAsia="宋体" w:cs="宋体"/>
                <w:i w:val="0"/>
                <w:iCs w:val="0"/>
                <w:color w:val="000000"/>
                <w:sz w:val="24"/>
                <w:szCs w:val="24"/>
                <w:highlight w:val="none"/>
                <w:u w:val="none"/>
                <w:lang w:val="en-US" w:eastAsia="zh-CN"/>
              </w:rPr>
              <w:t>帆布软连接、</w:t>
            </w:r>
            <w:r>
              <w:rPr>
                <w:rFonts w:hint="eastAsia" w:ascii="宋体" w:hAnsi="宋体" w:eastAsia="宋体" w:cs="宋体"/>
                <w:i w:val="0"/>
                <w:iCs w:val="0"/>
                <w:color w:val="000000"/>
                <w:sz w:val="24"/>
                <w:szCs w:val="24"/>
                <w:highlight w:val="none"/>
                <w:u w:val="none"/>
              </w:rPr>
              <w:t>螺丝，横档，密封条，密封胶，玻璃胶，法兰，铆钉，防锈漆等</w:t>
            </w:r>
            <w:r>
              <w:rPr>
                <w:rFonts w:hint="eastAsia" w:ascii="宋体" w:hAnsi="宋体" w:eastAsia="宋体" w:cs="宋体"/>
                <w:i w:val="0"/>
                <w:iCs w:val="0"/>
                <w:color w:val="000000"/>
                <w:sz w:val="24"/>
                <w:szCs w:val="24"/>
                <w:highlight w:val="none"/>
                <w:u w:val="none"/>
                <w:lang w:val="en-US" w:eastAsia="zh-CN"/>
              </w:rPr>
              <w:t>各类确保新风正常使用的辅材配件。</w:t>
            </w:r>
          </w:p>
        </w:tc>
        <w:tc>
          <w:tcPr>
            <w:tcW w:w="698" w:type="dxa"/>
            <w:tcBorders>
              <w:top w:val="single" w:color="auto" w:sz="4" w:space="0"/>
              <w:left w:val="single" w:color="auto" w:sz="4" w:space="0"/>
              <w:bottom w:val="single" w:color="auto" w:sz="4" w:space="0"/>
              <w:right w:val="single" w:color="auto" w:sz="4" w:space="0"/>
            </w:tcBorders>
            <w:noWrap/>
            <w:vAlign w:val="center"/>
          </w:tcPr>
          <w:p w14:paraId="54ECA15B">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平方米</w:t>
            </w:r>
          </w:p>
        </w:tc>
        <w:tc>
          <w:tcPr>
            <w:tcW w:w="873" w:type="dxa"/>
            <w:tcBorders>
              <w:top w:val="single" w:color="auto" w:sz="4" w:space="0"/>
              <w:left w:val="single" w:color="auto" w:sz="4" w:space="0"/>
              <w:bottom w:val="single" w:color="auto" w:sz="4" w:space="0"/>
              <w:right w:val="single" w:color="auto" w:sz="4" w:space="0"/>
            </w:tcBorders>
            <w:noWrap/>
            <w:vAlign w:val="center"/>
          </w:tcPr>
          <w:p w14:paraId="2254C216">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270</w:t>
            </w:r>
          </w:p>
        </w:tc>
        <w:tc>
          <w:tcPr>
            <w:tcW w:w="1456" w:type="dxa"/>
            <w:tcBorders>
              <w:top w:val="single" w:color="auto" w:sz="4" w:space="0"/>
              <w:left w:val="single" w:color="auto" w:sz="4" w:space="0"/>
              <w:bottom w:val="single" w:color="auto" w:sz="4" w:space="0"/>
              <w:right w:val="single" w:color="auto" w:sz="4" w:space="0"/>
            </w:tcBorders>
            <w:noWrap/>
            <w:vAlign w:val="center"/>
          </w:tcPr>
          <w:p w14:paraId="5E768780">
            <w:pPr>
              <w:keepNext w:val="0"/>
              <w:keepLines w:val="0"/>
              <w:widowControl/>
              <w:numPr>
                <w:ilvl w:val="0"/>
                <w:numId w:val="0"/>
              </w:numPr>
              <w:suppressLineNumbers w:val="0"/>
              <w:ind w:leftChars="0"/>
              <w:jc w:val="both"/>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预估量，根据图纸及实际需求自行测算</w:t>
            </w:r>
          </w:p>
        </w:tc>
      </w:tr>
      <w:tr w14:paraId="7F15274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41BDCB37">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6</w:t>
            </w:r>
          </w:p>
        </w:tc>
        <w:tc>
          <w:tcPr>
            <w:tcW w:w="274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6F7A41E">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电缆</w:t>
            </w:r>
          </w:p>
        </w:tc>
        <w:tc>
          <w:tcPr>
            <w:tcW w:w="24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B5653EE">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含电源线缆及控制信号线及穿线管等。各类电缆规格需满足设计图纸要求</w:t>
            </w:r>
          </w:p>
        </w:tc>
        <w:tc>
          <w:tcPr>
            <w:tcW w:w="6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2F4B122">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项</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7F7EB4">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 xml:space="preserve">1 </w:t>
            </w:r>
          </w:p>
        </w:tc>
        <w:tc>
          <w:tcPr>
            <w:tcW w:w="1456" w:type="dxa"/>
            <w:tcBorders>
              <w:top w:val="single" w:color="auto" w:sz="4" w:space="0"/>
              <w:left w:val="single" w:color="auto" w:sz="4" w:space="0"/>
              <w:bottom w:val="single" w:color="auto" w:sz="4" w:space="0"/>
              <w:right w:val="single" w:color="auto" w:sz="4" w:space="0"/>
            </w:tcBorders>
            <w:noWrap/>
            <w:vAlign w:val="center"/>
          </w:tcPr>
          <w:p w14:paraId="7B25E253">
            <w:pPr>
              <w:keepNext w:val="0"/>
              <w:keepLines w:val="0"/>
              <w:widowControl/>
              <w:numPr>
                <w:ilvl w:val="0"/>
                <w:numId w:val="0"/>
              </w:numPr>
              <w:suppressLineNumbers w:val="0"/>
              <w:ind w:leftChars="0"/>
              <w:jc w:val="center"/>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室内外电源柜已预留</w:t>
            </w:r>
          </w:p>
        </w:tc>
      </w:tr>
      <w:tr w14:paraId="3E75309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noWrap/>
            <w:vAlign w:val="center"/>
          </w:tcPr>
          <w:p w14:paraId="4CBC20EC">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7</w:t>
            </w:r>
          </w:p>
        </w:tc>
        <w:tc>
          <w:tcPr>
            <w:tcW w:w="274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E2114DF">
            <w:pPr>
              <w:keepNext w:val="0"/>
              <w:keepLines w:val="0"/>
              <w:widowControl/>
              <w:numPr>
                <w:ilvl w:val="0"/>
                <w:numId w:val="0"/>
              </w:numPr>
              <w:suppressLineNumbers w:val="0"/>
              <w:ind w:left="0" w:leftChars="0" w:firstLine="0" w:firstLineChars="0"/>
              <w:jc w:val="left"/>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石膏板及铝方通吊顶拆除及恢复</w:t>
            </w:r>
          </w:p>
        </w:tc>
        <w:tc>
          <w:tcPr>
            <w:tcW w:w="24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6C8BC48">
            <w:pPr>
              <w:numPr>
                <w:ilvl w:val="0"/>
                <w:numId w:val="0"/>
              </w:numPr>
              <w:ind w:left="0" w:leftChars="0" w:firstLine="0" w:firstLineChars="0"/>
              <w:jc w:val="left"/>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根据现场实际安装需求</w:t>
            </w:r>
          </w:p>
        </w:tc>
        <w:tc>
          <w:tcPr>
            <w:tcW w:w="6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B4F026A">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项</w:t>
            </w:r>
          </w:p>
        </w:tc>
        <w:tc>
          <w:tcPr>
            <w:tcW w:w="87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948E17D">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 xml:space="preserve">1 </w:t>
            </w:r>
          </w:p>
        </w:tc>
        <w:tc>
          <w:tcPr>
            <w:tcW w:w="1456" w:type="dxa"/>
            <w:tcBorders>
              <w:top w:val="single" w:color="auto" w:sz="4" w:space="0"/>
              <w:left w:val="single" w:color="auto" w:sz="4" w:space="0"/>
              <w:bottom w:val="single" w:color="auto" w:sz="4" w:space="0"/>
              <w:right w:val="single" w:color="auto" w:sz="4" w:space="0"/>
            </w:tcBorders>
            <w:noWrap/>
            <w:vAlign w:val="center"/>
          </w:tcPr>
          <w:p w14:paraId="365DFC5D">
            <w:pPr>
              <w:keepNext w:val="0"/>
              <w:keepLines w:val="0"/>
              <w:widowControl/>
              <w:numPr>
                <w:ilvl w:val="0"/>
                <w:numId w:val="0"/>
              </w:numPr>
              <w:suppressLineNumbers w:val="0"/>
              <w:ind w:leftChars="0"/>
              <w:jc w:val="center"/>
              <w:rPr>
                <w:rFonts w:hint="default" w:ascii="宋体" w:hAnsi="宋体" w:eastAsia="宋体" w:cs="宋体"/>
                <w:i w:val="0"/>
                <w:iCs w:val="0"/>
                <w:color w:val="000000"/>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含因拆卸过程中可能产生的损坏赔偿费用</w:t>
            </w:r>
          </w:p>
        </w:tc>
      </w:tr>
      <w:tr w14:paraId="3EB8ED2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22" w:hRule="atLeast"/>
          <w:jc w:val="center"/>
        </w:trPr>
        <w:tc>
          <w:tcPr>
            <w:tcW w:w="6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7DCCD0">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kern w:val="2"/>
                <w:sz w:val="24"/>
                <w:szCs w:val="24"/>
                <w:highlight w:val="none"/>
                <w:u w:val="none"/>
                <w:lang w:val="en-US" w:eastAsia="zh-CN" w:bidi="ar"/>
              </w:rPr>
              <w:t>8</w:t>
            </w:r>
          </w:p>
        </w:tc>
        <w:tc>
          <w:tcPr>
            <w:tcW w:w="2742"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B8756A2">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bidi="ar"/>
              </w:rPr>
              <w:t>机械费及脚手架</w:t>
            </w:r>
          </w:p>
        </w:tc>
        <w:tc>
          <w:tcPr>
            <w:tcW w:w="24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0DD4122">
            <w:pPr>
              <w:numPr>
                <w:ilvl w:val="0"/>
                <w:numId w:val="0"/>
              </w:numPr>
              <w:ind w:left="0" w:leftChars="0" w:firstLine="0" w:firstLineChars="0"/>
              <w:jc w:val="left"/>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含吊车等各类器械使用费用</w:t>
            </w:r>
          </w:p>
        </w:tc>
        <w:tc>
          <w:tcPr>
            <w:tcW w:w="69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2C1E22A">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项</w:t>
            </w:r>
          </w:p>
        </w:tc>
        <w:tc>
          <w:tcPr>
            <w:tcW w:w="873"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B7E40DD">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 xml:space="preserve">1 </w:t>
            </w:r>
          </w:p>
        </w:tc>
        <w:tc>
          <w:tcPr>
            <w:tcW w:w="14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B84E45">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
              </w:rPr>
            </w:pPr>
          </w:p>
        </w:tc>
      </w:tr>
      <w:tr w14:paraId="7A88519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EA5F99">
            <w:pPr>
              <w:keepNext w:val="0"/>
              <w:keepLines w:val="0"/>
              <w:widowControl/>
              <w:numPr>
                <w:ilvl w:val="0"/>
                <w:numId w:val="0"/>
              </w:numPr>
              <w:suppressLineNumbers w:val="0"/>
              <w:ind w:left="0" w:leftChars="0" w:firstLine="0" w:firstLineChars="0"/>
              <w:jc w:val="center"/>
              <w:rPr>
                <w:rFonts w:hint="default"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kern w:val="2"/>
                <w:sz w:val="24"/>
                <w:szCs w:val="24"/>
                <w:highlight w:val="none"/>
                <w:u w:val="none"/>
                <w:lang w:val="en-US" w:eastAsia="zh-CN" w:bidi="ar"/>
              </w:rPr>
              <w:t>9</w:t>
            </w:r>
          </w:p>
        </w:tc>
        <w:tc>
          <w:tcPr>
            <w:tcW w:w="2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929CDA">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调试费</w:t>
            </w:r>
          </w:p>
        </w:tc>
        <w:tc>
          <w:tcPr>
            <w:tcW w:w="24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3645CC">
            <w:pPr>
              <w:numPr>
                <w:ilvl w:val="0"/>
                <w:numId w:val="0"/>
              </w:numPr>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含空调系统调试及配电系统调试</w:t>
            </w:r>
          </w:p>
        </w:tc>
        <w:tc>
          <w:tcPr>
            <w:tcW w:w="6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AA82B7">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项</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71A445">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 xml:space="preserve">1 </w:t>
            </w:r>
          </w:p>
        </w:tc>
        <w:tc>
          <w:tcPr>
            <w:tcW w:w="14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3AEBBC">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
              </w:rPr>
            </w:pPr>
          </w:p>
        </w:tc>
      </w:tr>
      <w:tr w14:paraId="7270915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rPr>
          <w:trHeight w:val="454" w:hRule="atLeast"/>
          <w:jc w:val="center"/>
        </w:trPr>
        <w:tc>
          <w:tcPr>
            <w:tcW w:w="6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6C0D19">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
              </w:rPr>
            </w:pPr>
            <w:r>
              <w:rPr>
                <w:rFonts w:hint="eastAsia" w:ascii="宋体" w:hAnsi="宋体" w:eastAsia="宋体" w:cs="宋体"/>
                <w:i w:val="0"/>
                <w:iCs w:val="0"/>
                <w:color w:val="000000"/>
                <w:sz w:val="24"/>
                <w:szCs w:val="24"/>
                <w:highlight w:val="none"/>
                <w:u w:val="none"/>
                <w:lang w:val="en-US" w:eastAsia="zh-CN" w:bidi="ar"/>
              </w:rPr>
              <w:t>11</w:t>
            </w:r>
          </w:p>
        </w:tc>
        <w:tc>
          <w:tcPr>
            <w:tcW w:w="2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EE5B1F">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其它</w:t>
            </w:r>
          </w:p>
        </w:tc>
        <w:tc>
          <w:tcPr>
            <w:tcW w:w="24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37C233">
            <w:pPr>
              <w:keepNext w:val="0"/>
              <w:keepLines w:val="0"/>
              <w:widowControl/>
              <w:numPr>
                <w:ilvl w:val="0"/>
                <w:numId w:val="0"/>
              </w:numPr>
              <w:suppressLineNumbers w:val="0"/>
              <w:ind w:left="0" w:leftChars="0" w:firstLine="0" w:firstLineChars="0"/>
              <w:jc w:val="left"/>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其他费用包含但不仅限于所需全部设备、材料的价格、随设备提供的备品配件及专用工具的价格、包装费、运杂费（含在买方现场卸车费、吊装费）及运输保险费、二次搬运、垃圾清运、指导安装费、调试费、质保期内的维护保养费用、买方有关人员培训费及投标人认为需要的其它费用等。采购人除支付合同款项外，不再支付其余费用。</w:t>
            </w:r>
          </w:p>
        </w:tc>
        <w:tc>
          <w:tcPr>
            <w:tcW w:w="6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65D673">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项</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D8ADD6">
            <w:pPr>
              <w:keepNext w:val="0"/>
              <w:keepLines w:val="0"/>
              <w:widowControl/>
              <w:numPr>
                <w:ilvl w:val="0"/>
                <w:numId w:val="0"/>
              </w:numPr>
              <w:suppressLineNumbers w:val="0"/>
              <w:ind w:left="0" w:lef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bidi="ar"/>
              </w:rPr>
              <w:t xml:space="preserve">1 </w:t>
            </w:r>
          </w:p>
        </w:tc>
        <w:tc>
          <w:tcPr>
            <w:tcW w:w="14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7FDF8A">
            <w:pPr>
              <w:keepNext w:val="0"/>
              <w:keepLines w:val="0"/>
              <w:widowControl/>
              <w:numPr>
                <w:ilvl w:val="0"/>
                <w:numId w:val="0"/>
              </w:numPr>
              <w:suppressLineNumbers w:val="0"/>
              <w:ind w:left="0" w:leftChars="0" w:firstLine="0" w:firstLineChars="0"/>
              <w:jc w:val="both"/>
              <w:rPr>
                <w:rFonts w:hint="default" w:ascii="宋体" w:hAnsi="宋体" w:eastAsia="宋体" w:cs="宋体"/>
                <w:i w:val="0"/>
                <w:iCs w:val="0"/>
                <w:color w:val="000000"/>
                <w:kern w:val="2"/>
                <w:sz w:val="24"/>
                <w:szCs w:val="24"/>
                <w:highlight w:val="none"/>
                <w:u w:val="none"/>
                <w:lang w:val="en-US" w:eastAsia="zh-CN" w:bidi="ar"/>
              </w:rPr>
            </w:pPr>
          </w:p>
        </w:tc>
      </w:tr>
    </w:tbl>
    <w:p w14:paraId="6C15ECFD">
      <w:pPr>
        <w:keepNext w:val="0"/>
        <w:keepLines w:val="0"/>
        <w:pageBreakBefore w:val="0"/>
        <w:widowControl w:val="0"/>
        <w:kinsoku/>
        <w:wordWrap/>
        <w:overflowPunct/>
        <w:topLinePunct w:val="0"/>
        <w:autoSpaceDE/>
        <w:autoSpaceDN/>
        <w:bidi w:val="0"/>
        <w:adjustRightInd/>
        <w:snapToGrid/>
        <w:spacing w:line="400" w:lineRule="exact"/>
        <w:ind w:left="0"/>
        <w:jc w:val="both"/>
        <w:textAlignment w:val="auto"/>
        <w:rPr>
          <w:rFonts w:hint="default" w:ascii="Times New Roman" w:hAnsi="Times New Roman" w:eastAsia="宋体" w:cs="Times New Roman"/>
          <w:color w:val="000000" w:themeColor="text1"/>
          <w:spacing w:val="-3"/>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pacing w:val="-3"/>
          <w:sz w:val="28"/>
          <w:szCs w:val="28"/>
          <w:lang w:val="en-US" w:eastAsia="zh-CN"/>
          <w14:textFill>
            <w14:solidFill>
              <w14:schemeClr w14:val="tx1"/>
            </w14:solidFill>
          </w14:textFill>
        </w:rPr>
        <w:t>注：</w:t>
      </w:r>
    </w:p>
    <w:p w14:paraId="0DDD634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签订固定总价合同，供应商应基于项目图纸及现场踏勘实际情况进行自行测算安装工作量，并对测算结果负责。因测算偏差导致的缺量、缺项及相关损失，由供应商自行承担，采购人不追加任何费用。</w:t>
      </w:r>
    </w:p>
    <w:p w14:paraId="4037C89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附件为食堂后场暖通、电气图纸，本项目仅包含空调及新风系统，不含油烟排气系统。</w:t>
      </w:r>
    </w:p>
    <w:p w14:paraId="669CF9D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若招标文件与图纸参数存在差异之处，以招标文件为准。无差异处应按设计图施工安装。</w:t>
      </w:r>
    </w:p>
    <w:p w14:paraId="76ACEE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方正黑体简体" w:hAnsi="方正黑体简体" w:eastAsia="方正黑体简体" w:cs="方正黑体简体"/>
          <w:b w:val="0"/>
          <w:bCs w:val="0"/>
          <w:i w:val="0"/>
          <w:iCs w:val="0"/>
          <w:color w:val="000000" w:themeColor="text1"/>
          <w:sz w:val="32"/>
          <w:szCs w:val="32"/>
          <w:u w:val="none"/>
          <w:lang w:val="en-US" w:eastAsia="zh-CN"/>
          <w14:textFill>
            <w14:solidFill>
              <w14:schemeClr w14:val="tx1"/>
            </w14:solidFill>
          </w14:textFill>
        </w:rPr>
      </w:pPr>
      <w:r>
        <w:rPr>
          <w:rFonts w:hint="eastAsia" w:ascii="方正黑体简体" w:hAnsi="方正黑体简体" w:eastAsia="方正黑体简体" w:cs="方正黑体简体"/>
          <w:b w:val="0"/>
          <w:bCs w:val="0"/>
          <w:i w:val="0"/>
          <w:iCs w:val="0"/>
          <w:color w:val="000000" w:themeColor="text1"/>
          <w:sz w:val="32"/>
          <w:szCs w:val="32"/>
          <w:u w:val="none"/>
          <w:lang w:val="en-US" w:eastAsia="zh-CN"/>
          <w14:textFill>
            <w14:solidFill>
              <w14:schemeClr w14:val="tx1"/>
            </w14:solidFill>
          </w14:textFill>
        </w:rPr>
        <w:t>三、主要设备要求</w:t>
      </w:r>
    </w:p>
    <w:p w14:paraId="398E69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（一）VRV空调系统</w:t>
      </w:r>
    </w:p>
    <w:p w14:paraId="72E229B5">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b/>
          <w:bCs/>
          <w:i/>
          <w:iCs/>
          <w:color w:val="000000" w:themeColor="text1"/>
          <w:sz w:val="32"/>
          <w:szCs w:val="32"/>
          <w:u w:val="single"/>
          <w:lang w:val="en-US" w:eastAsia="zh-CN"/>
          <w14:textFill>
            <w14:solidFill>
              <w14:schemeClr w14:val="tx1"/>
            </w14:solidFill>
          </w14:textFill>
        </w:rPr>
        <w:t>产品均属于节能产品政府采购品目清单中的政府强制采购产品，因此投标人所报产品必须获得国家确定的认证机构出具的、处于有效期之内的节能产品认证证书。</w:t>
      </w:r>
    </w:p>
    <w:p w14:paraId="677408B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所投多联机空调推荐品牌为格力、美的、日立、大金、东芝或其他同等品牌，空调系统应为同一品牌同一系列产品，不接受跨系列混搭，且所投空调设备均为全新的、未经使用的产品，并符合相应的技术要求。</w:t>
      </w:r>
    </w:p>
    <w:p w14:paraId="68D140F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lang w:val="en-US" w:eastAsia="zh-CN"/>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多联机室内机、室外机单台制冷、制热量不得低于招标文件清单要求，不得改变原有设计机型、参数、数量及形式，不得拆分图纸中多联机系统数量及设计。</w:t>
      </w:r>
    </w:p>
    <w:p w14:paraId="6DFF050A">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b/>
          <w:bCs/>
          <w:i/>
          <w:iCs/>
          <w:color w:val="000000" w:themeColor="text1"/>
          <w:sz w:val="32"/>
          <w:szCs w:val="32"/>
          <w:u w:val="single"/>
          <w:lang w:val="zh-CN" w:eastAsia="zh-CN"/>
          <w14:textFill>
            <w14:solidFill>
              <w14:schemeClr w14:val="tx1"/>
            </w14:solidFill>
          </w14:textFill>
        </w:rPr>
      </w:pPr>
      <w:r>
        <w:rPr>
          <w:rFonts w:hint="eastAsia" w:ascii="Times New Roman" w:hAnsi="Times New Roman" w:eastAsia="方正仿宋_GB18030" w:cs="Times New Roman"/>
          <w:b/>
          <w:bCs/>
          <w:i/>
          <w:iCs/>
          <w:color w:val="000000" w:themeColor="text1"/>
          <w:sz w:val="32"/>
          <w:szCs w:val="32"/>
          <w:u w:val="single"/>
          <w:lang w:val="zh-CN" w:eastAsia="zh-CN"/>
          <w14:textFill>
            <w14:solidFill>
              <w14:schemeClr w14:val="tx1"/>
            </w14:solidFill>
          </w14:textFill>
        </w:rPr>
        <w:t>所有的多联机室内机需通过国家3C认证，须提供3C认证证书。</w:t>
      </w:r>
    </w:p>
    <w:p w14:paraId="3301565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b/>
          <w:bCs/>
          <w:i/>
          <w:iCs/>
          <w:color w:val="000000" w:themeColor="text1"/>
          <w:sz w:val="32"/>
          <w:szCs w:val="32"/>
          <w:u w:val="single"/>
          <w:lang w:val="zh-CN" w:eastAsia="zh-CN"/>
          <w14:textFill>
            <w14:solidFill>
              <w14:schemeClr w14:val="tx1"/>
            </w14:solidFill>
          </w14:textFill>
        </w:rPr>
      </w:pPr>
      <w:r>
        <w:rPr>
          <w:rFonts w:hint="eastAsia" w:ascii="Times New Roman" w:hAnsi="Times New Roman" w:eastAsia="方正仿宋_GB18030" w:cs="Times New Roman"/>
          <w:b/>
          <w:bCs/>
          <w:i/>
          <w:iCs/>
          <w:color w:val="000000" w:themeColor="text1"/>
          <w:sz w:val="32"/>
          <w:szCs w:val="32"/>
          <w:u w:val="single"/>
          <w:lang w:val="en-US" w:eastAsia="zh-CN"/>
          <w14:textFill>
            <w14:solidFill>
              <w14:schemeClr w14:val="tx1"/>
            </w14:solidFill>
          </w14:textFill>
        </w:rPr>
        <w:t>能效等级为一级能效。（需提供中国能效标识网公布的备案数值的网页截图，并加盖公章。）</w:t>
      </w:r>
    </w:p>
    <w:p w14:paraId="6E9AADA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b/>
          <w:bCs/>
          <w:i/>
          <w:iCs/>
          <w:color w:val="000000" w:themeColor="text1"/>
          <w:sz w:val="32"/>
          <w:szCs w:val="32"/>
          <w:u w:val="single"/>
          <w:lang w:val="en-US" w:eastAsia="zh-CN"/>
          <w14:textFill>
            <w14:solidFill>
              <w14:schemeClr w14:val="tx1"/>
            </w14:solidFill>
          </w14:textFill>
        </w:rPr>
      </w:pPr>
      <w:r>
        <w:rPr>
          <w:rFonts w:hint="eastAsia" w:ascii="Times New Roman" w:hAnsi="Times New Roman" w:eastAsia="方正仿宋_GB18030" w:cs="Times New Roman"/>
          <w:b/>
          <w:bCs/>
          <w:i/>
          <w:iCs/>
          <w:color w:val="000000" w:themeColor="text1"/>
          <w:sz w:val="32"/>
          <w:szCs w:val="32"/>
          <w:u w:val="single"/>
          <w:lang w:val="en-US" w:eastAsia="zh-CN"/>
          <w14:textFill>
            <w14:solidFill>
              <w14:schemeClr w14:val="tx1"/>
            </w14:solidFill>
          </w14:textFill>
        </w:rPr>
        <w:t>空调调主机采用变频空调系统,冷媒为 R410A。</w:t>
      </w:r>
    </w:p>
    <w:p w14:paraId="289F0603">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多联机系统</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室内外机均具备自清洁模式，用户可以自己操作。</w:t>
      </w:r>
    </w:p>
    <w:p w14:paraId="732450A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整体空调系统应具备中央集中控制、现场单机控制，室内机可用单台有线控制器和中央控制器进行双向控制。</w:t>
      </w:r>
    </w:p>
    <w:p w14:paraId="7A2FB56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室外机压缩机采用知名品牌直流变频涡旋压缩机，风扇电机采用直流变频电机</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w:t>
      </w:r>
    </w:p>
    <w:p w14:paraId="11629A1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所投顶出风多联机产品可实现外机超低待机功率≤1W。</w:t>
      </w:r>
    </w:p>
    <w:p w14:paraId="6F40851A">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所投多联式产品室内机壳体、室内机面板及线控器均采用抗老化技术，获得耐UV认证。</w:t>
      </w: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室外机经过防腐处理，保证经久耐用，使用寿命15年以上。</w:t>
      </w:r>
    </w:p>
    <w:p w14:paraId="00137575">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b w:val="0"/>
          <w:bCs w:val="0"/>
          <w:i w:val="0"/>
          <w:iCs w:val="0"/>
          <w:color w:val="000000" w:themeColor="text1"/>
          <w:sz w:val="32"/>
          <w:szCs w:val="32"/>
          <w:u w:val="none"/>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b w:val="0"/>
          <w:bCs w:val="0"/>
          <w:i w:val="0"/>
          <w:iCs w:val="0"/>
          <w:color w:val="000000" w:themeColor="text1"/>
          <w:sz w:val="32"/>
          <w:szCs w:val="32"/>
          <w:u w:val="none"/>
          <w:lang w:val="en-US" w:eastAsia="zh-CN"/>
          <w14:textFill>
            <w14:solidFill>
              <w14:schemeClr w14:val="tx1"/>
            </w14:solidFill>
          </w14:textFill>
        </w:rPr>
        <w:t>室内机采用直流无刷电机，四方向送风，标配冷凝水提升水泵，扬程不小于1200mm。</w:t>
      </w:r>
    </w:p>
    <w:p w14:paraId="06864F4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本次招标设备均为低噪音机型。提供每种室内机、室外机运行时的噪音及检测标准，详见</w:t>
      </w:r>
      <w:bookmarkStart w:id="0" w:name="_GoBack"/>
      <w:bookmarkEnd w:id="0"/>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设计图纸要求，噪音参数允许负偏离5db。</w:t>
      </w:r>
    </w:p>
    <w:p w14:paraId="5248A85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本次投标</w:t>
      </w:r>
      <w:r>
        <w:rPr>
          <w:rFonts w:hint="eastAsia" w:ascii="Times New Roman" w:hAnsi="Times New Roman" w:eastAsia="方正仿宋_GB18030" w:cs="Times New Roman"/>
          <w:color w:val="000000" w:themeColor="text1"/>
          <w:sz w:val="32"/>
          <w:szCs w:val="32"/>
          <w:highlight w:val="none"/>
          <w:lang w:val="en-US" w:eastAsia="zh-CN"/>
          <w14:textFill>
            <w14:solidFill>
              <w14:schemeClr w14:val="tx1"/>
            </w14:solidFill>
          </w14:textFill>
        </w:rPr>
        <w:t>所投多联机产品系列所有单模块具备高温制冷能力零衰减、外机高机外静压制冷能力零衰减、长配管制冷能力零衰减、长配管制热能力零衰减、低温制热能力零衰减功能。</w:t>
      </w:r>
    </w:p>
    <w:p w14:paraId="72E8814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室内机配置液晶显示线控器，可显示制冷、制热、风扇、自动四种运行模式，并有定时开关机、自动除霜、故障代码显示等功能。线控器根据校方需求，布置在指定位置。液晶面板需美观大方便利，款式需征得校方同意后安装。</w:t>
      </w:r>
    </w:p>
    <w:p w14:paraId="3ACA228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空调系统在南京市气象参数条件下，应能满足多种运行负荷和工况的需要，达到室内设计参数规定的制冷、制暖效果。工作环境温度要求：制冷：52ºC及以下 ；制热：-25ºC及以上。</w:t>
      </w: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可实现夏季制冷46ºC不衰减，冬季制热-15ºC不衰减。</w:t>
      </w:r>
    </w:p>
    <w:p w14:paraId="04AF2485">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 xml:space="preserve"> 机组具备停电再启动与断电记忆功能，运转中如果遇到停电，不论时间长短，一旦电源恢复，机组可自动启动。意外断电再次启动后，机组自动恢复到停电前的运行状态。  </w:t>
      </w:r>
    </w:p>
    <w:p w14:paraId="50BFC3BF">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机组具备高低压保护、排气温度保护、过载保护、逆缺相保护、最小停机及最低运行时间保护等安全保障，最大程度保护机组不受损坏。机组自带缺相、逆相保护功能，万一发生电源缺相、反相故障时，保护装置将保护运转中的机器。</w:t>
      </w:r>
    </w:p>
    <w:p w14:paraId="5D4A1A8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冷热源新风系统</w:t>
      </w:r>
    </w:p>
    <w:p w14:paraId="4814FFCE">
      <w:pPr>
        <w:pStyle w:val="11"/>
        <w:numPr>
          <w:ilvl w:val="0"/>
          <w:numId w:val="5"/>
        </w:numPr>
        <w:snapToGrid w:val="0"/>
        <w:spacing w:before="182" w:line="360" w:lineRule="auto"/>
        <w:ind w:left="-10" w:leftChars="0" w:firstLine="640" w:firstLineChars="0"/>
        <w:rPr>
          <w:rFonts w:hint="eastAsia" w:ascii="Times New Roman" w:hAnsi="Times New Roman" w:eastAsia="方正仿宋_GB18030"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highlight w:val="none"/>
          <w:lang w:val="en-US" w:eastAsia="zh-CN" w:bidi="ar-SA"/>
          <w14:textFill>
            <w14:solidFill>
              <w14:schemeClr w14:val="tx1"/>
            </w14:solidFill>
          </w14:textFill>
        </w:rPr>
        <w:t>箱体采用双层面板结构，箱体外壁板采用厚度不小于0.5mm厚的辊涂新工艺彩钢板，内壁板为不小于0.5mm厚无锌花镀锌钢板，其中内底板为不小于0.7mm厚无锌花镀锌钢板。箱板中间层采用整体高压聚氨脂发泡保温，密度≥50kg/m³，保温层厚度不小于25mm，泡料细腻均匀，无空腔、疏松现象。</w:t>
      </w:r>
    </w:p>
    <w:p w14:paraId="5B1BFDD5">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箱体采用内外框架结合的双级支撑结构，确保整机框架强度及稳定性；箱体框架采用断桥铝复合结构，通过耐高温的尼龙角连接器紧密连接，有效断冷桥；机组采用专业净化密封设计，内部平整，不积灰，绝对断冷桥结构。</w:t>
      </w:r>
    </w:p>
    <w:p w14:paraId="11EFFFED">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电机应采用优质电动机，电机生产厂家通过ISO9000质量体系认证，并符合CE标准。风机叶轮要经严格的动、静平衡试验，保证风机安静运行，且有AMCA（国际空气流动与控制协会）等级认证标志。</w:t>
      </w:r>
    </w:p>
    <w:p w14:paraId="05D95CB9">
      <w:pPr>
        <w:pStyle w:val="11"/>
        <w:keepNext w:val="0"/>
        <w:keepLines w:val="0"/>
        <w:pageBreakBefore w:val="0"/>
        <w:numPr>
          <w:ilvl w:val="0"/>
          <w:numId w:val="5"/>
        </w:numPr>
        <w:kinsoku/>
        <w:wordWrap/>
        <w:overflowPunct/>
        <w:topLinePunct w:val="0"/>
        <w:autoSpaceDE/>
        <w:autoSpaceDN/>
        <w:bidi w:val="0"/>
        <w:adjustRightInd/>
        <w:snapToGrid w:val="0"/>
        <w:spacing w:before="40" w:line="360" w:lineRule="auto"/>
        <w:ind w:left="-10" w:leftChars="0" w:right="339" w:rightChars="0" w:firstLine="640" w:firstLineChars="0"/>
        <w:textAlignment w:val="auto"/>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整套系统通风管道安装静音静压箱，降低气流噪音；机组需配备高品质</w:t>
      </w:r>
      <w:r>
        <w:rPr>
          <w:rFonts w:hint="default" w:ascii="Times New Roman" w:hAnsi="Times New Roman" w:eastAsia="方正仿宋_GB18030" w:cs="Times New Roman"/>
          <w:color w:val="000000" w:themeColor="text1"/>
          <w:kern w:val="2"/>
          <w:sz w:val="32"/>
          <w:szCs w:val="32"/>
          <w:highlight w:val="none"/>
          <w:lang w:val="en-US" w:eastAsia="zh-CN" w:bidi="ar-SA"/>
          <w14:textFill>
            <w14:solidFill>
              <w14:schemeClr w14:val="tx1"/>
            </w14:solidFill>
          </w14:textFill>
        </w:rPr>
        <w:t>无极变量</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静音马达风机及静音降噪装置，确保系统运行嘈音控制在规范标准之内。</w:t>
      </w:r>
    </w:p>
    <w:p w14:paraId="687DD216">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一拖一吸顶式变频空调</w:t>
      </w:r>
    </w:p>
    <w:p w14:paraId="6902E96F">
      <w:pPr>
        <w:pStyle w:val="11"/>
        <w:numPr>
          <w:ilvl w:val="0"/>
          <w:numId w:val="5"/>
        </w:numPr>
        <w:snapToGrid w:val="0"/>
        <w:spacing w:before="182" w:line="220" w:lineRule="auto"/>
        <w:ind w:left="-10" w:leftChars="0" w:firstLine="641" w:firstLineChars="0"/>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pPr>
      <w:r>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制冷量：≥</w:t>
      </w:r>
      <w:r>
        <w:rPr>
          <w:rFonts w:hint="eastAsia"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5</w:t>
      </w:r>
      <w:r>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.0kW</w:t>
      </w:r>
    </w:p>
    <w:p w14:paraId="73116BEB">
      <w:pPr>
        <w:pStyle w:val="11"/>
        <w:numPr>
          <w:ilvl w:val="0"/>
          <w:numId w:val="5"/>
        </w:numPr>
        <w:snapToGrid w:val="0"/>
        <w:spacing w:before="179" w:line="220" w:lineRule="auto"/>
        <w:ind w:left="-10" w:leftChars="0" w:firstLine="641" w:firstLineChars="0"/>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pPr>
      <w:r>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制热量：≥</w:t>
      </w:r>
      <w:r>
        <w:rPr>
          <w:rFonts w:hint="eastAsia"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5</w:t>
      </w:r>
      <w:r>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w:t>
      </w:r>
      <w:r>
        <w:rPr>
          <w:rFonts w:hint="eastAsia"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8</w:t>
      </w:r>
      <w:r>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kW</w:t>
      </w:r>
    </w:p>
    <w:p w14:paraId="7FA18026">
      <w:pPr>
        <w:pStyle w:val="11"/>
        <w:numPr>
          <w:ilvl w:val="0"/>
          <w:numId w:val="5"/>
        </w:numPr>
        <w:snapToGrid w:val="0"/>
        <w:spacing w:before="179" w:line="220" w:lineRule="auto"/>
        <w:ind w:left="-10" w:leftChars="0" w:firstLine="641" w:firstLineChars="0"/>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pPr>
      <w:r>
        <w:rPr>
          <w:rFonts w:hint="eastAsia"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能效等级：一级能效</w:t>
      </w:r>
    </w:p>
    <w:p w14:paraId="2732D684">
      <w:pPr>
        <w:pStyle w:val="11"/>
        <w:numPr>
          <w:ilvl w:val="0"/>
          <w:numId w:val="5"/>
        </w:numPr>
        <w:snapToGrid w:val="0"/>
        <w:spacing w:before="179" w:line="220" w:lineRule="auto"/>
        <w:ind w:left="-10" w:leftChars="0" w:firstLine="641" w:firstLineChars="0"/>
        <w:rPr>
          <w:rFonts w:hint="default"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pPr>
      <w:r>
        <w:rPr>
          <w:rFonts w:hint="eastAsia" w:ascii="Times New Roman" w:hAnsi="Times New Roman" w:eastAsia="方正仿宋_GB18030" w:cs="Times New Roman"/>
          <w:b/>
          <w:bCs/>
          <w:i/>
          <w:iCs/>
          <w:color w:val="000000" w:themeColor="text1"/>
          <w:kern w:val="2"/>
          <w:sz w:val="32"/>
          <w:szCs w:val="32"/>
          <w:u w:val="single"/>
          <w:lang w:val="en-US" w:eastAsia="zh-CN" w:bidi="ar-SA"/>
          <w14:textFill>
            <w14:solidFill>
              <w14:schemeClr w14:val="tx1"/>
            </w14:solidFill>
          </w14:textFill>
        </w:rPr>
        <w:t>变频空调、四面出风</w:t>
      </w:r>
    </w:p>
    <w:p w14:paraId="72529978">
      <w:pPr>
        <w:pStyle w:val="11"/>
        <w:numPr>
          <w:ilvl w:val="0"/>
          <w:numId w:val="5"/>
        </w:numPr>
        <w:snapToGrid w:val="0"/>
        <w:spacing w:before="179" w:line="220" w:lineRule="auto"/>
        <w:ind w:left="-10" w:leftChars="0" w:firstLine="640" w:firstLineChars="0"/>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与以上vrv空调系统为同一品牌。</w:t>
      </w:r>
    </w:p>
    <w:p w14:paraId="3E3C0A9E">
      <w:pPr>
        <w:pStyle w:val="11"/>
        <w:numPr>
          <w:ilvl w:val="0"/>
          <w:numId w:val="5"/>
        </w:numPr>
        <w:snapToGrid w:val="0"/>
        <w:spacing w:before="180" w:line="289" w:lineRule="auto"/>
        <w:ind w:left="-10" w:leftChars="0" w:right="159" w:firstLine="640" w:firstLineChars="0"/>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外机布置在指定位置，报价</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含设备基础或支架，含吊装</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含设备安装</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冷媒管</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冷凝水管、保温材料</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信号线、线管支吊架</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等所有需要的</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辅材</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以及</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安装调试</w:t>
      </w: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p>
    <w:p w14:paraId="2DD32D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方正黑体简体" w:hAnsi="方正黑体简体" w:eastAsia="方正黑体简体" w:cs="方正黑体简体"/>
          <w:b w:val="0"/>
          <w:bCs w:val="0"/>
          <w:i w:val="0"/>
          <w:iCs w:val="0"/>
          <w:color w:val="000000" w:themeColor="text1"/>
          <w:sz w:val="32"/>
          <w:szCs w:val="32"/>
          <w:u w:val="none"/>
          <w14:textFill>
            <w14:solidFill>
              <w14:schemeClr w14:val="tx1"/>
            </w14:solidFill>
          </w14:textFill>
        </w:rPr>
      </w:pPr>
      <w:r>
        <w:rPr>
          <w:rFonts w:hint="eastAsia" w:ascii="方正黑体简体" w:hAnsi="方正黑体简体" w:eastAsia="方正黑体简体" w:cs="方正黑体简体"/>
          <w:b w:val="0"/>
          <w:bCs w:val="0"/>
          <w:i w:val="0"/>
          <w:iCs w:val="0"/>
          <w:color w:val="000000" w:themeColor="text1"/>
          <w:sz w:val="32"/>
          <w:szCs w:val="32"/>
          <w:u w:val="none"/>
          <w:lang w:val="en-US" w:eastAsia="zh-CN"/>
          <w14:textFill>
            <w14:solidFill>
              <w14:schemeClr w14:val="tx1"/>
            </w14:solidFill>
          </w14:textFill>
        </w:rPr>
        <w:t>五</w:t>
      </w:r>
      <w:r>
        <w:rPr>
          <w:rFonts w:hint="eastAsia" w:ascii="方正黑体简体" w:hAnsi="方正黑体简体" w:eastAsia="方正黑体简体" w:cs="方正黑体简体"/>
          <w:b w:val="0"/>
          <w:bCs w:val="0"/>
          <w:i w:val="0"/>
          <w:iCs w:val="0"/>
          <w:color w:val="000000" w:themeColor="text1"/>
          <w:sz w:val="32"/>
          <w:szCs w:val="32"/>
          <w:u w:val="none"/>
          <w14:textFill>
            <w14:solidFill>
              <w14:schemeClr w14:val="tx1"/>
            </w14:solidFill>
          </w14:textFill>
        </w:rPr>
        <w:t>、项目安装相关要求</w:t>
      </w:r>
    </w:p>
    <w:p w14:paraId="4D0E93F8">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签订合同后5个日历日内，中标单位向校方提供安装深化图。合同签订后的35日历日内全部安装完毕，交付使用。</w:t>
      </w:r>
    </w:p>
    <w:p w14:paraId="60E39A52">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投标单位</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安全生产许可证；</w:t>
      </w:r>
      <w:r>
        <w:rPr>
          <w:rFonts w:hint="eastAsia"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t>（</w:t>
      </w:r>
      <w:r>
        <w:rPr>
          <w:rFonts w:hint="default"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t>提供有效期内证书复印件加盖</w:t>
      </w:r>
      <w:r>
        <w:rPr>
          <w:rFonts w:hint="eastAsia"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t>供应商</w:t>
      </w:r>
      <w:r>
        <w:rPr>
          <w:rFonts w:hint="default"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t>公章</w:t>
      </w:r>
      <w:r>
        <w:rPr>
          <w:rFonts w:hint="eastAsia" w:ascii="Times New Roman" w:hAnsi="Times New Roman" w:eastAsia="方正仿宋_GB18030" w:cs="Times New Roman"/>
          <w:b/>
          <w:bCs/>
          <w:i w:val="0"/>
          <w:iCs w:val="0"/>
          <w:color w:val="000000" w:themeColor="text1"/>
          <w:sz w:val="32"/>
          <w:szCs w:val="32"/>
          <w:u w:val="none"/>
          <w:lang w:val="en-US" w:eastAsia="zh-CN"/>
          <w14:textFill>
            <w14:solidFill>
              <w14:schemeClr w14:val="tx1"/>
            </w14:solidFill>
          </w14:textFill>
        </w:rPr>
        <w:t>）</w:t>
      </w:r>
    </w:p>
    <w:p w14:paraId="59710805">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项目为新建工程，安装工作界面会与其他设备安装重合，中标单位自行负责保管、看护进场的设备及附配件，提供适当的保护、包装或覆盖等处理。安装施工期间需有专业项目经理全程现场协调施工，文明施工，及时清运垃圾。安装期间因安装不规范或管理不到位造成损失自行承担，并进行赔偿。</w:t>
      </w:r>
    </w:p>
    <w:p w14:paraId="3D4D719E">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各类管道及线缆隐蔽安装，外露部分应征得招标人的认可。</w:t>
      </w:r>
    </w:p>
    <w:p w14:paraId="7FDFFF32">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 xml:space="preserve">冷媒管采用磷酸脱氧无缝铜管，无焊剂直焊链接，使用的铜管、三通、变径等配件需提供材料品牌、规格型号等相关资料。冷媒管备选品牌：宏泰、飞轮、海亮或同档次优质品牌。冷媒管的安装长度应符合设计要求，管径须根据室内外机冷量和流量等实际条件由投标人最终核实确定，保证空调机之正常运行。壁厚及管径须符合《空调与制冷设备用无缝铜管 GB/T 8163-2008》的要求。多联空调冷媒管由设备供应商成套提供，冷媒管安装完毕后需将管井包住,需注意美观。 </w:t>
      </w:r>
    </w:p>
    <w:p w14:paraId="0131BBDF">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1" w:leftChars="0" w:firstLine="640" w:firstLineChars="0"/>
        <w:jc w:val="both"/>
        <w:textAlignment w:val="auto"/>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 xml:space="preserve">制冷剂管道、冷凝水管均采用橡塑板材或管材保温。冷媒管道采用不小于难燃B1级橡塑保温壳。制冷剂管道保温厚度由厂家产品技术规程确定，且应满足《多联空调系统工程技术规程》的规定。 </w:t>
      </w:r>
    </w:p>
    <w:p w14:paraId="05B8A32E">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1"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 xml:space="preserve">冷媒和冷疑管路的排列应确保冷媒介质和冷凝水流畅，并且排列有序，安装牢固。 </w:t>
      </w:r>
    </w:p>
    <w:p w14:paraId="6FAEC923">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zh-CN" w:eastAsia="zh-CN"/>
          <w14:textFill>
            <w14:solidFill>
              <w14:schemeClr w14:val="tx1"/>
            </w14:solidFill>
          </w14:textFill>
        </w:rPr>
        <w:t>保温材料应具有无毒、无腐蚀、无异味、不起尘、不吸湿的性能，并符合有关建筑防火规范的要求。粘贴应平整、牢固。不得有附着不良、剥落和霉烂等现象。</w:t>
      </w:r>
    </w:p>
    <w:p w14:paraId="7249B468">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施工用电、用水的接点由招标方提供，具体用电、用水及管线由投标方自行解决，用水、用电费用由招标方承担。</w:t>
      </w:r>
    </w:p>
    <w:p w14:paraId="7742D1CC">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电源线规格必须满足设备功率及线路长度要求，符合国家电气规范。所有电气连接必须安全、规范、绝缘良好。</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线缆备选品牌：远东、江南、宝胜或同档次优质品牌。</w:t>
      </w:r>
    </w:p>
    <w:p w14:paraId="7EAE5647">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10" w:leftChars="0" w:firstLine="640" w:firstLine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施工过程中因施工方操作不当、管理疏漏等自身原因引发的现场安全事故、人员伤亡、财产损失等一切责任及经济赔偿，均由乙方独立承担，与甲方无关；乙方需提前投保工程一切险、人身意外伤害险等相关保险。</w:t>
      </w:r>
    </w:p>
    <w:p w14:paraId="330104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pPr>
      <w:r>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t>五、商务条款及售后服务要求</w:t>
      </w:r>
    </w:p>
    <w:p w14:paraId="7B32E60F">
      <w:pPr>
        <w:pStyle w:val="12"/>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18030" w:cs="Times New Roman"/>
          <w:b/>
          <w:bCs/>
          <w:i w:val="0"/>
          <w:iCs w:val="0"/>
          <w:color w:val="000000" w:themeColor="text1"/>
          <w:kern w:val="2"/>
          <w:sz w:val="32"/>
          <w:szCs w:val="32"/>
          <w:u w:val="none"/>
          <w:lang w:val="en-US" w:eastAsia="zh-CN" w:bidi="ar-SA"/>
          <w14:textFill>
            <w14:solidFill>
              <w14:schemeClr w14:val="tx1"/>
            </w14:solidFill>
          </w14:textFill>
        </w:rPr>
      </w:pP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自验收之日起，</w:t>
      </w:r>
      <w:r>
        <w:rPr>
          <w:rFonts w:hint="default"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整机质保不低于</w:t>
      </w:r>
      <w:r>
        <w:rPr>
          <w:rFonts w:hint="eastAsia"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4</w:t>
      </w:r>
      <w:r>
        <w:rPr>
          <w:rFonts w:hint="default"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年</w:t>
      </w:r>
      <w:r>
        <w:rPr>
          <w:rFonts w:hint="eastAsia"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，质保内容包含设备、管道及安装等合同内全部内容</w:t>
      </w:r>
      <w:r>
        <w:rPr>
          <w:rFonts w:hint="default"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w:t>
      </w:r>
      <w:r>
        <w:rPr>
          <w:rFonts w:hint="default" w:ascii="Times New Roman" w:hAnsi="Times New Roman" w:eastAsia="方正仿宋_GB18030" w:cs="Times New Roman"/>
          <w:b/>
          <w:bCs/>
          <w:i w:val="0"/>
          <w:iCs w:val="0"/>
          <w:color w:val="000000" w:themeColor="text1"/>
          <w:kern w:val="2"/>
          <w:sz w:val="32"/>
          <w:szCs w:val="32"/>
          <w:u w:val="none"/>
          <w:lang w:val="en-US" w:eastAsia="zh-CN" w:bidi="ar-SA"/>
          <w14:textFill>
            <w14:solidFill>
              <w14:schemeClr w14:val="tx1"/>
            </w14:solidFill>
          </w14:textFill>
        </w:rPr>
        <w:t>（提供承诺函，格式自拟，加盖公章）</w:t>
      </w:r>
    </w:p>
    <w:p w14:paraId="4CD7A95B">
      <w:pPr>
        <w:pStyle w:val="12"/>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18030" w:cs="Times New Roman"/>
          <w:b/>
          <w:bCs/>
          <w:i w:val="0"/>
          <w:iCs w:val="0"/>
          <w:color w:val="000000" w:themeColor="text1"/>
          <w:kern w:val="2"/>
          <w:sz w:val="32"/>
          <w:szCs w:val="32"/>
          <w:u w:val="none"/>
          <w:lang w:val="en-US" w:eastAsia="zh-CN" w:bidi="ar-SA"/>
          <w14:textFill>
            <w14:solidFill>
              <w14:schemeClr w14:val="tx1"/>
            </w14:solidFill>
          </w14:textFill>
        </w:rPr>
      </w:pP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方正仿宋_GB18030" w:cs="Times New Roman"/>
          <w:b w:val="0"/>
          <w:bCs w:val="0"/>
          <w:i w:val="0"/>
          <w:iCs w:val="0"/>
          <w:color w:val="000000" w:themeColor="text1"/>
          <w:kern w:val="2"/>
          <w:sz w:val="32"/>
          <w:szCs w:val="32"/>
          <w:u w:val="none"/>
          <w:lang w:val="en-US" w:eastAsia="zh-CN" w:bidi="ar-SA"/>
          <w14:textFill>
            <w14:solidFill>
              <w14:schemeClr w14:val="tx1"/>
            </w14:solidFill>
          </w14:textFill>
        </w:rPr>
        <w:t>质保期内，投标人应当安排本公司人员或者设备原厂人员对本项目进行回访，特别是空调系统进行每季度不少于1次的回访。质保期内，投标人负责中央空调系统的设备维保，包括但不局限与室内机滤网清洁（每年不少于2次）、室外机散热器清洁（每年不少于2次）、空调系统充氟、漏点检测、控制系统定期维护等。相关费用已包含在总报价内</w:t>
      </w:r>
      <w:r>
        <w:rPr>
          <w:rFonts w:hint="default" w:ascii="Times New Roman" w:hAnsi="Times New Roman" w:eastAsia="方正仿宋_GB18030" w:cs="Times New Roman"/>
          <w:b/>
          <w:bCs/>
          <w:i w:val="0"/>
          <w:iCs w:val="0"/>
          <w:color w:val="000000" w:themeColor="text1"/>
          <w:kern w:val="2"/>
          <w:sz w:val="32"/>
          <w:szCs w:val="32"/>
          <w:u w:val="none"/>
          <w:lang w:val="en-US" w:eastAsia="zh-CN" w:bidi="ar-SA"/>
          <w14:textFill>
            <w14:solidFill>
              <w14:schemeClr w14:val="tx1"/>
            </w14:solidFill>
          </w14:textFill>
        </w:rPr>
        <w:t>（提供承诺函，格式自拟，加盖公章）</w:t>
      </w:r>
    </w:p>
    <w:p w14:paraId="5584D0EE">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leftChars="0"/>
        <w:jc w:val="both"/>
        <w:textAlignment w:val="auto"/>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pPr>
      <w:r>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t>六、付款方式</w:t>
      </w:r>
    </w:p>
    <w:p w14:paraId="34E50B31">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410" w:leftChars="0" w:firstLine="400" w:firstLineChars="0"/>
        <w:jc w:val="both"/>
        <w:textAlignment w:val="auto"/>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签订合同后预付至合同价的30%；</w:t>
      </w:r>
    </w:p>
    <w:p w14:paraId="656011A9">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410" w:leftChars="0" w:firstLine="400" w:firstLineChars="0"/>
        <w:jc w:val="both"/>
        <w:textAlignment w:val="auto"/>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项目施工完成，交付验收合格后付至合同价的60%；</w:t>
      </w:r>
    </w:p>
    <w:p w14:paraId="3639F3F4">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410" w:leftChars="0" w:firstLine="400" w:firstLineChars="0"/>
        <w:jc w:val="both"/>
        <w:textAlignment w:val="auto"/>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项目交付后，使用2个月无异常情况，支付至合同价的96%；</w:t>
      </w:r>
    </w:p>
    <w:p w14:paraId="1529636E">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410" w:leftChars="0" w:firstLine="400" w:firstLineChars="0"/>
        <w:jc w:val="both"/>
        <w:textAlignment w:val="auto"/>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剩余4%质保金，待质保期结束后支付。</w:t>
      </w:r>
    </w:p>
    <w:p w14:paraId="0DB9FF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（以上均需提供正规的增值税发票）</w:t>
      </w:r>
    </w:p>
    <w:p w14:paraId="12EEF1A8">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leftChars="0"/>
        <w:jc w:val="both"/>
        <w:textAlignment w:val="auto"/>
        <w:rPr>
          <w:rFonts w:hint="default" w:ascii="方正黑体简体" w:hAnsi="方正黑体简体" w:eastAsia="方正黑体简体" w:cs="方正黑体简体"/>
          <w:color w:val="000000" w:themeColor="text1"/>
          <w:sz w:val="32"/>
          <w:szCs w:val="32"/>
          <w:lang w:val="en-US" w:eastAsia="zh-CN"/>
          <w14:textFill>
            <w14:solidFill>
              <w14:schemeClr w14:val="tx1"/>
            </w14:solidFill>
          </w14:textFill>
        </w:rPr>
      </w:pPr>
      <w:r>
        <w:rPr>
          <w:rFonts w:hint="default" w:ascii="方正黑体简体" w:hAnsi="方正黑体简体" w:eastAsia="方正黑体简体" w:cs="方正黑体简体"/>
          <w:color w:val="000000" w:themeColor="text1"/>
          <w:sz w:val="32"/>
          <w:szCs w:val="32"/>
          <w:lang w:val="en-US" w:eastAsia="zh-CN"/>
          <w14:textFill>
            <w14:solidFill>
              <w14:schemeClr w14:val="tx1"/>
            </w14:solidFill>
          </w14:textFill>
        </w:rPr>
        <w:t>七、现场勘察</w:t>
      </w:r>
      <w:r>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t>要求</w:t>
      </w:r>
    </w:p>
    <w:p w14:paraId="546424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本项目设置统一勘察现场时间，即</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xxxx</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年</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xx</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月</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xx</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日下午</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xx</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点。进校需提前和采购人联系预约登记，办理进校报备手续，报备所需信息（姓名，身份证号码，手机号码，工作单位，自驾需提供车牌号）发送给现场勘察联系人。未勘察现场或勘察现场工作不详细的供应商中标后，不得以不完全了解现场情况为由而向采购人提出任何索赔或其他要求，对此采购人不承担任何责任并将不作任何答复。</w:t>
      </w:r>
    </w:p>
    <w:p w14:paraId="776574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地点：南京市</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桥林</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区桥林镇</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江苏开放大学桥林校区</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w:t>
      </w:r>
    </w:p>
    <w:p w14:paraId="7D1E8D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联系人：</w:t>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xxx</w:t>
      </w: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 xml:space="preserve">      联系方式：</w:t>
      </w:r>
    </w:p>
    <w:p w14:paraId="398B99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18030" w:cs="Times New Roman"/>
          <w:color w:val="000000" w:themeColor="text1"/>
          <w:sz w:val="32"/>
          <w:szCs w:val="32"/>
          <w:lang w:val="en-US" w:eastAsia="zh-CN"/>
          <w14:textFill>
            <w14:solidFill>
              <w14:schemeClr w14:val="tx1"/>
            </w14:solidFill>
          </w14:textFill>
        </w:rPr>
        <w:t>现场勘测时，供应商代表应携带营业执照副本复印件和法人授权委托书原件、身份证。请务必对项目现场和周围环境进行仔细认真地查勘，在随后的采购中，对现场资料和数据所作出的推论、解释和结论及由此造成的后果由供应商负责。</w:t>
      </w:r>
    </w:p>
    <w:p w14:paraId="32E5A683">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leftChars="0"/>
        <w:jc w:val="both"/>
        <w:textAlignment w:val="auto"/>
        <w:rPr>
          <w:rFonts w:hint="eastAsia" w:ascii="方正黑体简体" w:hAnsi="方正黑体简体" w:eastAsia="方正黑体简体" w:cs="方正黑体简体"/>
          <w:color w:val="000000" w:themeColor="text1"/>
          <w:sz w:val="32"/>
          <w:szCs w:val="32"/>
          <w:lang w:eastAsia="zh-CN"/>
          <w14:textFill>
            <w14:solidFill>
              <w14:schemeClr w14:val="tx1"/>
            </w14:solidFill>
          </w14:textFill>
        </w:rPr>
      </w:pP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ab/>
      </w:r>
      <w:r>
        <w:rPr>
          <w:rFonts w:hint="eastAsia" w:ascii="Times New Roman" w:hAnsi="Times New Roman" w:eastAsia="方正仿宋_GB18030" w:cs="Times New Roman"/>
          <w:color w:val="000000" w:themeColor="text1"/>
          <w:sz w:val="32"/>
          <w:szCs w:val="32"/>
          <w:lang w:val="en-US" w:eastAsia="zh-CN"/>
          <w14:textFill>
            <w14:solidFill>
              <w14:schemeClr w14:val="tx1"/>
            </w14:solidFill>
          </w14:textFill>
        </w:rPr>
        <w:tab/>
      </w:r>
      <w:r>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t>八</w:t>
      </w:r>
      <w:r>
        <w:rPr>
          <w:rFonts w:hint="eastAsia" w:ascii="方正黑体简体" w:hAnsi="方正黑体简体" w:eastAsia="方正黑体简体" w:cs="方正黑体简体"/>
          <w:color w:val="000000" w:themeColor="text1"/>
          <w:sz w:val="32"/>
          <w:szCs w:val="32"/>
          <w:lang w:eastAsia="zh-CN"/>
          <w14:textFill>
            <w14:solidFill>
              <w14:schemeClr w14:val="tx1"/>
            </w14:solidFill>
          </w14:textFill>
        </w:rPr>
        <w:t>、评分标准</w:t>
      </w:r>
    </w:p>
    <w:tbl>
      <w:tblPr>
        <w:tblStyle w:val="8"/>
        <w:tblpPr w:leftFromText="180" w:rightFromText="180" w:vertAnchor="text" w:horzAnchor="page" w:tblpX="1837" w:tblpY="3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207"/>
        <w:gridCol w:w="5842"/>
        <w:gridCol w:w="832"/>
      </w:tblGrid>
      <w:tr w14:paraId="5F18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blHeader/>
        </w:trPr>
        <w:tc>
          <w:tcPr>
            <w:tcW w:w="376" w:type="pct"/>
            <w:vAlign w:val="center"/>
          </w:tcPr>
          <w:p w14:paraId="611EF6ED">
            <w:pPr>
              <w:numPr>
                <w:ilvl w:val="0"/>
                <w:numId w:val="0"/>
              </w:numPr>
              <w:ind w:leftChars="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序号</w:t>
            </w:r>
          </w:p>
        </w:tc>
        <w:tc>
          <w:tcPr>
            <w:tcW w:w="708" w:type="pct"/>
            <w:vAlign w:val="center"/>
          </w:tcPr>
          <w:p w14:paraId="1967CEDA">
            <w:pPr>
              <w:numPr>
                <w:ilvl w:val="0"/>
                <w:numId w:val="0"/>
              </w:numPr>
              <w:spacing w:line="460" w:lineRule="exact"/>
              <w:ind w:leftChars="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评分因素</w:t>
            </w:r>
          </w:p>
        </w:tc>
        <w:tc>
          <w:tcPr>
            <w:tcW w:w="3427" w:type="pct"/>
            <w:vAlign w:val="center"/>
          </w:tcPr>
          <w:p w14:paraId="2097D9A9">
            <w:pPr>
              <w:numPr>
                <w:ilvl w:val="0"/>
                <w:numId w:val="0"/>
              </w:numPr>
              <w:spacing w:line="460" w:lineRule="exact"/>
              <w:ind w:leftChars="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评审标准</w:t>
            </w:r>
          </w:p>
        </w:tc>
        <w:tc>
          <w:tcPr>
            <w:tcW w:w="488" w:type="pct"/>
            <w:vAlign w:val="center"/>
          </w:tcPr>
          <w:p w14:paraId="6BE8E953">
            <w:pPr>
              <w:numPr>
                <w:ilvl w:val="0"/>
                <w:numId w:val="0"/>
              </w:numPr>
              <w:spacing w:line="460" w:lineRule="exact"/>
              <w:ind w:leftChars="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分值</w:t>
            </w:r>
          </w:p>
        </w:tc>
      </w:tr>
      <w:tr w14:paraId="1628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76" w:type="pct"/>
            <w:vAlign w:val="center"/>
          </w:tcPr>
          <w:p w14:paraId="70367694">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708" w:type="pct"/>
            <w:vAlign w:val="center"/>
          </w:tcPr>
          <w:p w14:paraId="21946478">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投标报价</w:t>
            </w:r>
          </w:p>
        </w:tc>
        <w:tc>
          <w:tcPr>
            <w:tcW w:w="3427" w:type="pct"/>
            <w:vAlign w:val="center"/>
          </w:tcPr>
          <w:p w14:paraId="5AAEDA39">
            <w:pPr>
              <w:numPr>
                <w:ilvl w:val="0"/>
                <w:numId w:val="0"/>
              </w:numPr>
              <w:spacing w:line="440" w:lineRule="exact"/>
              <w:ind w:leftChars="0"/>
              <w:rPr>
                <w:rFonts w:ascii="宋体" w:hAnsi="宋体" w:cs="宋体"/>
                <w:color w:val="000000" w:themeColor="text1"/>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采用低价优先法计算，即满足招标文件要求且投标价格最低的投标报价为评标基准价，其价格分为满分。其他投标人的价格分统一按照下列公式计算：投标报价得分=(评标基准价/投标报价)×</w:t>
            </w:r>
            <w:r>
              <w:rPr>
                <w:rFonts w:ascii="宋体" w:hAnsi="宋体"/>
                <w:color w:val="000000" w:themeColor="text1"/>
                <w:kern w:val="0"/>
                <w:szCs w:val="21"/>
                <w14:textFill>
                  <w14:solidFill>
                    <w14:schemeClr w14:val="tx1"/>
                  </w14:solidFill>
                </w14:textFill>
              </w:rPr>
              <w:t>30</w:t>
            </w:r>
            <w:r>
              <w:rPr>
                <w:rFonts w:hint="eastAsia" w:ascii="宋体" w:hAnsi="宋体"/>
                <w:color w:val="000000" w:themeColor="text1"/>
                <w:kern w:val="0"/>
                <w:szCs w:val="21"/>
                <w14:textFill>
                  <w14:solidFill>
                    <w14:schemeClr w14:val="tx1"/>
                  </w14:solidFill>
                </w14:textFill>
              </w:rPr>
              <w:t>（小数点保留两位）</w:t>
            </w:r>
          </w:p>
        </w:tc>
        <w:tc>
          <w:tcPr>
            <w:tcW w:w="488" w:type="pct"/>
            <w:vAlign w:val="center"/>
          </w:tcPr>
          <w:p w14:paraId="29EDC0F7">
            <w:pPr>
              <w:numPr>
                <w:ilvl w:val="0"/>
                <w:numId w:val="0"/>
              </w:numPr>
              <w:spacing w:line="440" w:lineRule="exact"/>
              <w:ind w:leftChars="0"/>
              <w:jc w:val="center"/>
              <w:rPr>
                <w:rFonts w:ascii="宋体" w:hAns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0</w:t>
            </w:r>
          </w:p>
        </w:tc>
      </w:tr>
      <w:tr w14:paraId="1A1F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76" w:type="pct"/>
            <w:vAlign w:val="center"/>
          </w:tcPr>
          <w:p w14:paraId="577866ED">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708" w:type="pct"/>
            <w:vAlign w:val="center"/>
          </w:tcPr>
          <w:p w14:paraId="58C815F2">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技术参数</w:t>
            </w:r>
          </w:p>
        </w:tc>
        <w:tc>
          <w:tcPr>
            <w:tcW w:w="3427" w:type="pct"/>
            <w:vAlign w:val="center"/>
          </w:tcPr>
          <w:p w14:paraId="5EBEB786">
            <w:pPr>
              <w:numPr>
                <w:ilvl w:val="0"/>
                <w:numId w:val="0"/>
              </w:numPr>
              <w:spacing w:line="440" w:lineRule="exact"/>
              <w:ind w:leftChars="0"/>
              <w:rPr>
                <w:rFonts w:hint="default" w:ascii="宋体" w:hAnsi="宋体" w:eastAsiaTheme="minorEastAsia"/>
                <w:color w:val="000000" w:themeColor="text1"/>
                <w:kern w:val="0"/>
                <w:szCs w:val="21"/>
                <w:lang w:val="en-US" w:eastAsia="zh-CN"/>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根据供应商所投产品的技术参数及性能与招标文件要求的响应程度进行打分，供应商所投产品的技术参数、规格及材质能够完全响应招标文件要求的得</w:t>
            </w:r>
            <w:r>
              <w:rPr>
                <w:rFonts w:hint="eastAsia" w:ascii="宋体" w:hAnsi="宋体"/>
                <w:color w:val="000000" w:themeColor="text1"/>
                <w:kern w:val="0"/>
                <w:szCs w:val="21"/>
                <w:lang w:val="en-US" w:eastAsia="zh-CN"/>
                <w14:textFill>
                  <w14:solidFill>
                    <w14:schemeClr w14:val="tx1"/>
                  </w14:solidFill>
                </w14:textFill>
              </w:rPr>
              <w:t>26</w:t>
            </w:r>
            <w:r>
              <w:rPr>
                <w:rFonts w:hint="eastAsia" w:ascii="宋体" w:hAnsi="宋体"/>
                <w:color w:val="000000" w:themeColor="text1"/>
                <w:kern w:val="0"/>
                <w:szCs w:val="21"/>
                <w14:textFill>
                  <w14:solidFill>
                    <w14:schemeClr w14:val="tx1"/>
                  </w14:solidFill>
                </w14:textFill>
              </w:rPr>
              <w:t>分；</w:t>
            </w:r>
            <w:r>
              <w:rPr>
                <w:rFonts w:hint="eastAsia" w:ascii="宋体" w:hAnsi="宋体"/>
                <w:b/>
                <w:bCs/>
                <w:sz w:val="21"/>
                <w:szCs w:val="18"/>
              </w:rPr>
              <w:t>本招标文件中</w:t>
            </w:r>
            <w:r>
              <w:rPr>
                <w:rFonts w:hint="eastAsia" w:ascii="宋体" w:hAnsi="宋体"/>
                <w:b/>
                <w:bCs/>
                <w:i/>
                <w:sz w:val="21"/>
                <w:szCs w:val="18"/>
                <w:u w:val="single"/>
              </w:rPr>
              <w:t>斜体且有下划线部分</w:t>
            </w:r>
            <w:r>
              <w:rPr>
                <w:rFonts w:hint="eastAsia" w:ascii="宋体" w:hAnsi="宋体"/>
                <w:b/>
                <w:bCs/>
                <w:sz w:val="21"/>
                <w:szCs w:val="18"/>
              </w:rPr>
              <w:t>条款</w:t>
            </w:r>
            <w:r>
              <w:rPr>
                <w:rFonts w:hint="eastAsia" w:ascii="宋体" w:hAnsi="宋体"/>
                <w:b/>
                <w:bCs/>
                <w:sz w:val="21"/>
                <w:szCs w:val="18"/>
                <w:lang w:val="en-US" w:eastAsia="zh-CN"/>
              </w:rPr>
              <w:t>及参数</w:t>
            </w:r>
            <w:r>
              <w:rPr>
                <w:rFonts w:hint="eastAsia" w:ascii="宋体" w:hAnsi="宋体"/>
                <w:b/>
                <w:bCs/>
                <w:sz w:val="21"/>
                <w:szCs w:val="18"/>
              </w:rPr>
              <w:t>为实质性要求</w:t>
            </w:r>
            <w:r>
              <w:rPr>
                <w:rFonts w:hint="eastAsia" w:ascii="宋体" w:hAnsi="宋体"/>
                <w:color w:val="000000" w:themeColor="text1"/>
                <w:kern w:val="0"/>
                <w:szCs w:val="21"/>
                <w:lang w:val="en-US" w:eastAsia="zh-CN"/>
                <w14:textFill>
                  <w14:solidFill>
                    <w14:schemeClr w14:val="tx1"/>
                  </w14:solidFill>
                </w14:textFill>
              </w:rPr>
              <w:t>，每有一项负偏离，投标文件为无效</w:t>
            </w:r>
            <w:r>
              <w:rPr>
                <w:rFonts w:hint="eastAsia" w:ascii="宋体" w:hAnsi="宋体"/>
                <w:color w:val="000000" w:themeColor="text1"/>
                <w:kern w:val="0"/>
                <w:szCs w:val="21"/>
                <w:lang w:eastAsia="zh-CN"/>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标注“</w:t>
            </w:r>
            <w:r>
              <w:rPr>
                <w:rFonts w:hint="default" w:ascii="Times New Roman" w:hAnsi="Times New Roman" w:eastAsia="方正仿宋_GB18030" w:cs="Times New Roman"/>
                <w:color w:val="000000" w:themeColor="text1"/>
                <w:kern w:val="2"/>
                <w:sz w:val="32"/>
                <w:szCs w:val="32"/>
                <w:lang w:val="en-US" w:eastAsia="zh-CN" w:bidi="ar-SA"/>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”号参数为重要指标，每一项有负偏离扣</w:t>
            </w:r>
            <w:r>
              <w:rPr>
                <w:rFonts w:hint="eastAsia" w:ascii="宋体" w:hAnsi="宋体"/>
                <w:color w:val="000000" w:themeColor="text1"/>
                <w:kern w:val="0"/>
                <w:szCs w:val="21"/>
                <w:lang w:val="en-US" w:eastAsia="zh-CN"/>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分</w:t>
            </w:r>
            <w:r>
              <w:rPr>
                <w:rFonts w:hint="eastAsia" w:ascii="宋体" w:hAnsi="宋体"/>
                <w:color w:val="000000" w:themeColor="text1"/>
                <w:kern w:val="0"/>
                <w:szCs w:val="21"/>
                <w:lang w:eastAsia="zh-CN"/>
                <w14:textFill>
                  <w14:solidFill>
                    <w14:schemeClr w14:val="tx1"/>
                  </w14:solidFill>
                </w14:textFill>
              </w:rPr>
              <w:t>，</w:t>
            </w:r>
            <w:r>
              <w:rPr>
                <w:rFonts w:hint="eastAsia" w:ascii="宋体" w:hAnsi="宋体"/>
                <w:color w:val="000000" w:themeColor="text1"/>
                <w:kern w:val="0"/>
                <w:szCs w:val="21"/>
                <w:lang w:val="en-US" w:eastAsia="zh-CN"/>
                <w14:textFill>
                  <w14:solidFill>
                    <w14:schemeClr w14:val="tx1"/>
                  </w14:solidFill>
                </w14:textFill>
              </w:rPr>
              <w:t>扣完为止</w:t>
            </w:r>
            <w:r>
              <w:rPr>
                <w:rFonts w:hint="eastAsia" w:ascii="宋体" w:hAnsi="宋体"/>
                <w:color w:val="000000" w:themeColor="text1"/>
                <w:kern w:val="0"/>
                <w:szCs w:val="21"/>
                <w:lang w:eastAsia="zh-CN"/>
                <w14:textFill>
                  <w14:solidFill>
                    <w14:schemeClr w14:val="tx1"/>
                  </w14:solidFill>
                </w14:textFill>
              </w:rPr>
              <w:t>；</w:t>
            </w:r>
            <w:r>
              <w:rPr>
                <w:rFonts w:hint="eastAsia"/>
                <w:color w:val="000000" w:themeColor="text1"/>
                <w:sz w:val="21"/>
                <w:szCs w:val="21"/>
                <w:lang w:val="en-US" w:eastAsia="zh-CN" w:bidi="ar"/>
                <w14:textFill>
                  <w14:solidFill>
                    <w14:schemeClr w14:val="tx1"/>
                  </w14:solidFill>
                </w14:textFill>
              </w:rPr>
              <w:t>其他技术条款为一般技术条款</w:t>
            </w:r>
            <w:r>
              <w:rPr>
                <w:rFonts w:hint="eastAsia" w:ascii="宋体" w:hAnsi="宋体"/>
                <w:color w:val="000000" w:themeColor="text1"/>
                <w:kern w:val="0"/>
                <w:szCs w:val="21"/>
                <w:lang w:val="en-US" w:eastAsia="zh-CN"/>
                <w14:textFill>
                  <w14:solidFill>
                    <w14:schemeClr w14:val="tx1"/>
                  </w14:solidFill>
                </w14:textFill>
              </w:rPr>
              <w:t>，每有一项负偏离扣0.5分，扣完为止。</w:t>
            </w:r>
          </w:p>
          <w:p w14:paraId="434D1841">
            <w:pPr>
              <w:numPr>
                <w:ilvl w:val="0"/>
                <w:numId w:val="0"/>
              </w:numPr>
              <w:spacing w:line="440" w:lineRule="exact"/>
              <w:ind w:leftChars="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注：供应商针对本项评分内容在响应文件《技术响应偏离表》中逐条列出响应及偏离情况，采购技术参数要求提供证明材料的，以证明材料为准，并详细标明所在投标文件中的位置；采购需求中未要求提供证明材料的，以《技术响应偏离表》为准。</w:t>
            </w:r>
          </w:p>
        </w:tc>
        <w:tc>
          <w:tcPr>
            <w:tcW w:w="488" w:type="pct"/>
            <w:vAlign w:val="center"/>
          </w:tcPr>
          <w:p w14:paraId="51A13DE5">
            <w:pPr>
              <w:numPr>
                <w:ilvl w:val="0"/>
                <w:numId w:val="0"/>
              </w:numPr>
              <w:spacing w:line="440" w:lineRule="exact"/>
              <w:ind w:leftChars="0"/>
              <w:jc w:val="center"/>
              <w:rPr>
                <w:rFonts w:hint="default" w:ascii="宋体" w:hAnsi="宋体" w:cs="宋体" w:eastAsiaTheme="minorEastAsia"/>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26</w:t>
            </w:r>
          </w:p>
        </w:tc>
      </w:tr>
      <w:tr w14:paraId="40F8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76" w:type="pct"/>
            <w:vAlign w:val="center"/>
          </w:tcPr>
          <w:p w14:paraId="7FAA0B5B">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708" w:type="pct"/>
          </w:tcPr>
          <w:p w14:paraId="211FBAF5">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p>
          <w:p w14:paraId="7385E771">
            <w:pPr>
              <w:spacing w:line="460" w:lineRule="exact"/>
              <w:jc w:val="center"/>
              <w:rPr>
                <w:rFonts w:ascii="宋体" w:hAnsi="宋体" w:cs="宋体"/>
                <w:color w:val="000000" w:themeColor="text1"/>
                <w:szCs w:val="21"/>
                <w14:textFill>
                  <w14:solidFill>
                    <w14:schemeClr w14:val="tx1"/>
                  </w14:solidFill>
                </w14:textFill>
              </w:rPr>
            </w:pPr>
          </w:p>
          <w:p w14:paraId="7E38978D">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业绩</w:t>
            </w:r>
          </w:p>
        </w:tc>
        <w:tc>
          <w:tcPr>
            <w:tcW w:w="3427" w:type="pct"/>
            <w:vAlign w:val="center"/>
          </w:tcPr>
          <w:p w14:paraId="6DB832EC">
            <w:pPr>
              <w:numPr>
                <w:ilvl w:val="0"/>
                <w:numId w:val="0"/>
              </w:numPr>
              <w:autoSpaceDE w:val="0"/>
              <w:autoSpaceDN w:val="0"/>
              <w:adjustRightInd w:val="0"/>
              <w:snapToGrid w:val="0"/>
              <w:spacing w:line="560" w:lineRule="exact"/>
              <w:ind w:leftChars="0"/>
              <w:jc w:val="left"/>
              <w:rPr>
                <w:rFonts w:ascii="宋体" w:hAnsi="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供应商自2022年7月1日（以合同签订时间为准）以来，</w:t>
            </w:r>
            <w:r>
              <w:rPr>
                <w:rFonts w:hint="eastAsia" w:ascii="宋体" w:hAnsi="宋体" w:eastAsia="宋体" w:cs="宋体"/>
                <w:color w:val="000000" w:themeColor="text1"/>
                <w:szCs w:val="21"/>
                <w:lang w:val="en-US" w:eastAsia="zh-CN" w:bidi="ar"/>
                <w14:textFill>
                  <w14:solidFill>
                    <w14:schemeClr w14:val="tx1"/>
                  </w14:solidFill>
                </w14:textFill>
              </w:rPr>
              <w:t>空调及新风系统采</w:t>
            </w:r>
            <w:r>
              <w:rPr>
                <w:rFonts w:ascii="Segoe UI" w:hAnsi="Segoe UI" w:cs="Segoe UI"/>
                <w:color w:val="000000" w:themeColor="text1"/>
                <w:shd w:val="clear" w:color="auto" w:fill="EFF0F1"/>
                <w14:textFill>
                  <w14:solidFill>
                    <w14:schemeClr w14:val="tx1"/>
                  </w14:solidFill>
                </w14:textFill>
              </w:rPr>
              <w:t>购及安装项目业绩</w:t>
            </w:r>
            <w:r>
              <w:rPr>
                <w:rFonts w:hint="eastAsia" w:ascii="宋体" w:hAnsi="宋体" w:eastAsia="宋体" w:cs="宋体"/>
                <w:color w:val="000000" w:themeColor="text1"/>
                <w:szCs w:val="21"/>
                <w:lang w:eastAsia="zh-CN" w:bidi="ar"/>
                <w14:textFill>
                  <w14:solidFill>
                    <w14:schemeClr w14:val="tx1"/>
                  </w14:solidFill>
                </w14:textFill>
              </w:rPr>
              <w:t>，</w:t>
            </w:r>
            <w:r>
              <w:rPr>
                <w:rFonts w:hint="eastAsia" w:ascii="宋体" w:hAnsi="宋体" w:eastAsia="宋体" w:cs="宋体"/>
                <w:color w:val="000000" w:themeColor="text1"/>
                <w:szCs w:val="21"/>
                <w:lang w:bidi="ar"/>
                <w14:textFill>
                  <w14:solidFill>
                    <w14:schemeClr w14:val="tx1"/>
                  </w14:solidFill>
                </w14:textFill>
              </w:rPr>
              <w:t>每有一个得</w:t>
            </w:r>
            <w:r>
              <w:rPr>
                <w:rFonts w:hint="eastAsia" w:ascii="宋体" w:hAnsi="宋体" w:eastAsia="宋体" w:cs="宋体"/>
                <w:color w:val="000000" w:themeColor="text1"/>
                <w:szCs w:val="21"/>
                <w:lang w:val="en-US" w:eastAsia="zh-CN" w:bidi="ar"/>
                <w14:textFill>
                  <w14:solidFill>
                    <w14:schemeClr w14:val="tx1"/>
                  </w14:solidFill>
                </w14:textFill>
              </w:rPr>
              <w:t>2</w:t>
            </w:r>
            <w:r>
              <w:rPr>
                <w:rFonts w:hint="eastAsia" w:ascii="宋体" w:hAnsi="宋体" w:eastAsia="宋体" w:cs="宋体"/>
                <w:color w:val="000000" w:themeColor="text1"/>
                <w:szCs w:val="21"/>
                <w:lang w:bidi="ar"/>
                <w14:textFill>
                  <w14:solidFill>
                    <w14:schemeClr w14:val="tx1"/>
                  </w14:solidFill>
                </w14:textFill>
              </w:rPr>
              <w:t>分，本项最高得</w:t>
            </w:r>
            <w:r>
              <w:rPr>
                <w:rFonts w:hint="eastAsia" w:ascii="宋体" w:hAnsi="宋体" w:eastAsia="宋体" w:cs="宋体"/>
                <w:color w:val="000000" w:themeColor="text1"/>
                <w:szCs w:val="21"/>
                <w:lang w:val="en-US" w:eastAsia="zh-CN" w:bidi="ar"/>
                <w14:textFill>
                  <w14:solidFill>
                    <w14:schemeClr w14:val="tx1"/>
                  </w14:solidFill>
                </w14:textFill>
              </w:rPr>
              <w:t>10</w:t>
            </w:r>
            <w:r>
              <w:rPr>
                <w:rFonts w:hint="eastAsia" w:ascii="宋体" w:hAnsi="宋体" w:eastAsia="宋体" w:cs="宋体"/>
                <w:color w:val="000000" w:themeColor="text1"/>
                <w:szCs w:val="21"/>
                <w:lang w:bidi="ar"/>
                <w14:textFill>
                  <w14:solidFill>
                    <w14:schemeClr w14:val="tx1"/>
                  </w14:solidFill>
                </w14:textFill>
              </w:rPr>
              <w:t>分。证明材料包含中标(成交)通知书、合同复印件加盖公章，未提供或提供不全或模糊不清无法辨认的不得分。</w:t>
            </w:r>
          </w:p>
        </w:tc>
        <w:tc>
          <w:tcPr>
            <w:tcW w:w="488" w:type="pct"/>
          </w:tcPr>
          <w:p w14:paraId="19A03B81">
            <w:pPr>
              <w:numPr>
                <w:ilvl w:val="0"/>
                <w:numId w:val="0"/>
              </w:numPr>
              <w:spacing w:line="440" w:lineRule="exact"/>
              <w:ind w:leftChars="0"/>
              <w:jc w:val="center"/>
              <w:rPr>
                <w:rFonts w:ascii="宋体" w:hAnsi="宋体" w:cs="宋体"/>
                <w:color w:val="000000" w:themeColor="text1"/>
                <w:kern w:val="0"/>
                <w:szCs w:val="21"/>
                <w:lang w:bidi="ar"/>
                <w14:textFill>
                  <w14:solidFill>
                    <w14:schemeClr w14:val="tx1"/>
                  </w14:solidFill>
                </w14:textFill>
              </w:rPr>
            </w:pPr>
          </w:p>
          <w:p w14:paraId="6E2FB68C">
            <w:pPr>
              <w:spacing w:line="440" w:lineRule="exact"/>
              <w:ind w:left="17" w:hanging="17"/>
              <w:jc w:val="center"/>
              <w:rPr>
                <w:rFonts w:ascii="宋体" w:hAnsi="宋体" w:cs="宋体"/>
                <w:color w:val="000000" w:themeColor="text1"/>
                <w:kern w:val="0"/>
                <w:szCs w:val="21"/>
                <w:lang w:bidi="ar"/>
                <w14:textFill>
                  <w14:solidFill>
                    <w14:schemeClr w14:val="tx1"/>
                  </w14:solidFill>
                </w14:textFill>
              </w:rPr>
            </w:pPr>
          </w:p>
          <w:p w14:paraId="4DE7A68A">
            <w:pPr>
              <w:numPr>
                <w:ilvl w:val="0"/>
                <w:numId w:val="0"/>
              </w:numPr>
              <w:spacing w:line="440" w:lineRule="exact"/>
              <w:ind w:leftChars="0"/>
              <w:jc w:val="center"/>
              <w:rPr>
                <w:rFonts w:hint="default" w:ascii="宋体" w:hAnsi="宋体" w:cs="宋体" w:eastAsiaTheme="minorEastAsia"/>
                <w:color w:val="000000" w:themeColor="text1"/>
                <w:kern w:val="0"/>
                <w:szCs w:val="21"/>
                <w:lang w:val="en-US" w:eastAsia="zh-CN" w:bidi="ar"/>
                <w14:textFill>
                  <w14:solidFill>
                    <w14:schemeClr w14:val="tx1"/>
                  </w14:solidFill>
                </w14:textFill>
              </w:rPr>
            </w:pPr>
            <w:r>
              <w:rPr>
                <w:rFonts w:hint="eastAsia" w:ascii="宋体" w:hAnsi="宋体" w:cs="宋体"/>
                <w:color w:val="000000" w:themeColor="text1"/>
                <w:kern w:val="0"/>
                <w:szCs w:val="21"/>
                <w:lang w:val="en-US" w:eastAsia="zh-CN" w:bidi="ar"/>
                <w14:textFill>
                  <w14:solidFill>
                    <w14:schemeClr w14:val="tx1"/>
                  </w14:solidFill>
                </w14:textFill>
              </w:rPr>
              <w:t>8</w:t>
            </w:r>
          </w:p>
        </w:tc>
      </w:tr>
      <w:tr w14:paraId="2ECD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76" w:type="pct"/>
            <w:vAlign w:val="center"/>
          </w:tcPr>
          <w:p w14:paraId="195B240C">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708" w:type="pct"/>
            <w:vAlign w:val="center"/>
          </w:tcPr>
          <w:p w14:paraId="797E8613">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w:t>
            </w:r>
            <w:r>
              <w:rPr>
                <w:rFonts w:hint="eastAsia" w:ascii="宋体" w:hAnsi="宋体" w:cs="宋体"/>
                <w:color w:val="000000" w:themeColor="text1"/>
                <w:szCs w:val="21"/>
                <w:lang w:val="en-US" w:eastAsia="zh-CN"/>
                <w14:textFill>
                  <w14:solidFill>
                    <w14:schemeClr w14:val="tx1"/>
                  </w14:solidFill>
                </w14:textFill>
              </w:rPr>
              <w:t>认证</w:t>
            </w:r>
          </w:p>
        </w:tc>
        <w:tc>
          <w:tcPr>
            <w:tcW w:w="3427" w:type="pct"/>
            <w:vAlign w:val="center"/>
          </w:tcPr>
          <w:p w14:paraId="61A06F70">
            <w:pPr>
              <w:numPr>
                <w:ilvl w:val="0"/>
                <w:numId w:val="0"/>
              </w:numPr>
              <w:spacing w:line="460" w:lineRule="exact"/>
              <w:ind w:leftChars="0"/>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bidi="ar"/>
                <w14:textFill>
                  <w14:solidFill>
                    <w14:schemeClr w14:val="tx1"/>
                  </w14:solidFill>
                </w14:textFill>
              </w:rPr>
              <w:t>具备有效期内的质量管理体系（ISO9001）、环境管理体系（ISO14001）、职业健康安全管理体系（ISO45001）三体系认证，每提供一个得1分，最多得3分；</w:t>
            </w:r>
          </w:p>
        </w:tc>
        <w:tc>
          <w:tcPr>
            <w:tcW w:w="488" w:type="pct"/>
            <w:vAlign w:val="center"/>
          </w:tcPr>
          <w:p w14:paraId="49F31435">
            <w:pPr>
              <w:numPr>
                <w:ilvl w:val="0"/>
                <w:numId w:val="0"/>
              </w:numPr>
              <w:spacing w:line="440" w:lineRule="exact"/>
              <w:ind w:leftChars="0"/>
              <w:jc w:val="center"/>
              <w:rPr>
                <w:rFonts w:hint="default" w:ascii="宋体" w:hAnsi="宋体" w:eastAsiaTheme="minorEastAsia"/>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p>
        </w:tc>
      </w:tr>
      <w:tr w14:paraId="1C89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376" w:type="pct"/>
            <w:vAlign w:val="center"/>
          </w:tcPr>
          <w:p w14:paraId="584F1F66">
            <w:pPr>
              <w:numPr>
                <w:ilvl w:val="0"/>
                <w:numId w:val="0"/>
              </w:numPr>
              <w:spacing w:line="460" w:lineRule="exact"/>
              <w:ind w:left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708" w:type="pct"/>
            <w:vAlign w:val="center"/>
          </w:tcPr>
          <w:p w14:paraId="2B1BE643">
            <w:pPr>
              <w:numPr>
                <w:ilvl w:val="0"/>
                <w:numId w:val="0"/>
              </w:numPr>
              <w:spacing w:line="46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项目组成员</w:t>
            </w:r>
          </w:p>
        </w:tc>
        <w:tc>
          <w:tcPr>
            <w:tcW w:w="3427" w:type="pct"/>
            <w:vAlign w:val="center"/>
          </w:tcPr>
          <w:p w14:paraId="36E99925">
            <w:pPr>
              <w:spacing w:line="460" w:lineRule="exact"/>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1.项目经理具有</w:t>
            </w:r>
            <w:r>
              <w:rPr>
                <w:rFonts w:hint="eastAsia" w:ascii="宋体" w:hAnsi="宋体" w:cs="宋体"/>
                <w:color w:val="000000" w:themeColor="text1"/>
                <w:sz w:val="21"/>
                <w:szCs w:val="21"/>
                <w:lang w:val="en-US" w:eastAsia="zh-CN" w:bidi="ar"/>
                <w14:textFill>
                  <w14:solidFill>
                    <w14:schemeClr w14:val="tx1"/>
                  </w14:solidFill>
                </w14:textFill>
              </w:rPr>
              <w:t>中级工程师</w:t>
            </w:r>
            <w:r>
              <w:rPr>
                <w:rFonts w:hint="eastAsia" w:ascii="宋体" w:hAnsi="宋体" w:eastAsia="宋体" w:cs="宋体"/>
                <w:color w:val="000000" w:themeColor="text1"/>
                <w:sz w:val="21"/>
                <w:szCs w:val="21"/>
                <w:lang w:val="en-US" w:eastAsia="zh-CN" w:bidi="ar"/>
                <w14:textFill>
                  <w14:solidFill>
                    <w14:schemeClr w14:val="tx1"/>
                  </w14:solidFill>
                </w14:textFill>
              </w:rPr>
              <w:t>职称</w:t>
            </w:r>
            <w:r>
              <w:rPr>
                <w:rFonts w:hint="eastAsia" w:ascii="宋体" w:hAnsi="宋体" w:cs="宋体"/>
                <w:color w:val="000000" w:themeColor="text1"/>
                <w:sz w:val="21"/>
                <w:szCs w:val="21"/>
                <w:lang w:val="en-US" w:eastAsia="zh-CN" w:bidi="ar"/>
                <w14:textFill>
                  <w14:solidFill>
                    <w14:schemeClr w14:val="tx1"/>
                  </w14:solidFill>
                </w14:textFill>
              </w:rPr>
              <w:t>及以上</w:t>
            </w:r>
            <w:r>
              <w:rPr>
                <w:rFonts w:hint="eastAsia" w:ascii="宋体" w:hAnsi="宋体" w:eastAsia="宋体" w:cs="宋体"/>
                <w:color w:val="000000" w:themeColor="text1"/>
                <w:sz w:val="21"/>
                <w:szCs w:val="21"/>
                <w:lang w:val="en-US" w:eastAsia="zh-CN" w:bidi="ar"/>
                <w14:textFill>
                  <w14:solidFill>
                    <w14:schemeClr w14:val="tx1"/>
                  </w14:solidFill>
                </w14:textFill>
              </w:rPr>
              <w:t>的得2分，不符合要求不得分。（需提供项目经理身份证、有效证书及投标人为其缴纳的近三个月任意一个月的社保证明材料）</w:t>
            </w:r>
          </w:p>
          <w:p w14:paraId="41CAA912">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2.项目组成员具有特种操作证其中须包含电工专业2个、焊接作业1个、高处作业证1个、制冷与空调设备安装修理作业操作证2个，每有一个，得1分，最高得6分。</w:t>
            </w:r>
          </w:p>
          <w:p w14:paraId="6B6C0B55">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（1）须提供上述人员名单（格式自拟）及相关证书扫描件或复印件；</w:t>
            </w:r>
          </w:p>
          <w:p w14:paraId="428F1C0E">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（2）须提供供应商为拟委任人员缴纳近三个月任意一个月社保证明材料扫描件或复印件。</w:t>
            </w:r>
          </w:p>
          <w:p w14:paraId="642F4A26">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（3）社保缴费证明（或社保的有效证明材料）指的是至少含养老保险、医疗保险、工伤保险、失业保险中任意一项即可。社会保险的缴纳单位应当是供应商或者供应商不具备独立法人资格的分支机构。</w:t>
            </w:r>
          </w:p>
          <w:p w14:paraId="0E5A6808">
            <w:pPr>
              <w:numPr>
                <w:ilvl w:val="0"/>
                <w:numId w:val="0"/>
              </w:numPr>
              <w:spacing w:line="440" w:lineRule="exact"/>
              <w:ind w:leftChars="0"/>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（4）以上证书人员不可兼任。</w:t>
            </w:r>
          </w:p>
        </w:tc>
        <w:tc>
          <w:tcPr>
            <w:tcW w:w="488" w:type="pct"/>
            <w:vAlign w:val="center"/>
          </w:tcPr>
          <w:p w14:paraId="583173B7">
            <w:pPr>
              <w:numPr>
                <w:ilvl w:val="0"/>
                <w:numId w:val="0"/>
              </w:numPr>
              <w:spacing w:line="440" w:lineRule="exact"/>
              <w:ind w:leftChars="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w:t>
            </w:r>
          </w:p>
        </w:tc>
      </w:tr>
      <w:tr w14:paraId="5381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0" w:hRule="atLeast"/>
        </w:trPr>
        <w:tc>
          <w:tcPr>
            <w:tcW w:w="376" w:type="pct"/>
            <w:vMerge w:val="restart"/>
            <w:vAlign w:val="center"/>
          </w:tcPr>
          <w:p w14:paraId="322F07FD">
            <w:pPr>
              <w:numPr>
                <w:ilvl w:val="0"/>
                <w:numId w:val="0"/>
              </w:numPr>
              <w:spacing w:line="460" w:lineRule="exact"/>
              <w:ind w:leftChars="0"/>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6</w:t>
            </w:r>
          </w:p>
        </w:tc>
        <w:tc>
          <w:tcPr>
            <w:tcW w:w="708" w:type="pct"/>
            <w:vMerge w:val="restart"/>
            <w:vAlign w:val="center"/>
          </w:tcPr>
          <w:p w14:paraId="7701FFA6">
            <w:pPr>
              <w:numPr>
                <w:ilvl w:val="0"/>
                <w:numId w:val="0"/>
              </w:numPr>
              <w:spacing w:line="460" w:lineRule="exact"/>
              <w:ind w:leftChars="0"/>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项目实施方案</w:t>
            </w:r>
          </w:p>
        </w:tc>
        <w:tc>
          <w:tcPr>
            <w:tcW w:w="3427" w:type="pct"/>
            <w:shd w:val="clear" w:color="auto" w:fill="auto"/>
            <w:vAlign w:val="center"/>
          </w:tcPr>
          <w:p w14:paraId="40FB5AFE">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bidi="ar"/>
                <w14:textFill>
                  <w14:solidFill>
                    <w14:schemeClr w14:val="tx1"/>
                  </w14:solidFill>
                </w14:textFill>
              </w:rPr>
              <w:t>6.1投标人应根据本项目特点，制定本项目实施总体方案。方案应当包含本项目施工总进度计划、备货计划、施工安装、施工设备配置、现场施工平面布置、拟投入的劳动力计划、施工人员培训等内容。方案以科学性、合理性、可操作性为核心，要求进度节点清晰、资源配置充足、组织协调高效、风险防控到位，符合现场实际与工期要求，具备可靠落地执行能力。</w:t>
            </w:r>
          </w:p>
          <w:p w14:paraId="2E989CB2">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1.</w:t>
            </w:r>
            <w:r>
              <w:rPr>
                <w:rFonts w:hint="eastAsia"/>
                <w:color w:val="000000" w:themeColor="text1"/>
                <w:sz w:val="21"/>
                <w:szCs w:val="21"/>
                <w:lang w:bidi="ar"/>
                <w14:textFill>
                  <w14:solidFill>
                    <w14:schemeClr w14:val="tx1"/>
                  </w14:solidFill>
                </w14:textFill>
              </w:rPr>
              <w:t>方案</w:t>
            </w:r>
            <w:r>
              <w:rPr>
                <w:rFonts w:hint="eastAsia"/>
                <w:color w:val="000000" w:themeColor="text1"/>
                <w:sz w:val="21"/>
                <w:szCs w:val="21"/>
                <w:lang w:val="en-US" w:eastAsia="zh-CN" w:bidi="ar"/>
                <w14:textFill>
                  <w14:solidFill>
                    <w14:schemeClr w14:val="tx1"/>
                  </w14:solidFill>
                </w14:textFill>
              </w:rPr>
              <w:t>优于项目需求的，</w:t>
            </w:r>
            <w:r>
              <w:rPr>
                <w:rFonts w:hint="eastAsia"/>
                <w:color w:val="000000" w:themeColor="text1"/>
                <w:sz w:val="21"/>
                <w:szCs w:val="21"/>
                <w:lang w:bidi="ar"/>
                <w14:textFill>
                  <w14:solidFill>
                    <w14:schemeClr w14:val="tx1"/>
                  </w14:solidFill>
                </w14:textFill>
              </w:rPr>
              <w:t>得</w:t>
            </w:r>
            <w:r>
              <w:rPr>
                <w:rFonts w:hint="eastAsia"/>
                <w:color w:val="000000" w:themeColor="text1"/>
                <w:sz w:val="21"/>
                <w:szCs w:val="21"/>
                <w:lang w:val="en-US" w:eastAsia="zh-CN" w:bidi="ar"/>
                <w14:textFill>
                  <w14:solidFill>
                    <w14:schemeClr w14:val="tx1"/>
                  </w14:solidFill>
                </w14:textFill>
              </w:rPr>
              <w:t>4</w:t>
            </w:r>
            <w:r>
              <w:rPr>
                <w:rFonts w:hint="eastAsia"/>
                <w:color w:val="000000" w:themeColor="text1"/>
                <w:sz w:val="21"/>
                <w:szCs w:val="21"/>
                <w:lang w:bidi="ar"/>
                <w14:textFill>
                  <w14:solidFill>
                    <w14:schemeClr w14:val="tx1"/>
                  </w14:solidFill>
                </w14:textFill>
              </w:rPr>
              <w:t>分；</w:t>
            </w:r>
          </w:p>
          <w:p w14:paraId="02EC998B">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2.</w:t>
            </w:r>
            <w:r>
              <w:rPr>
                <w:rFonts w:hint="eastAsia"/>
                <w:color w:val="000000" w:themeColor="text1"/>
                <w:sz w:val="21"/>
                <w:szCs w:val="21"/>
                <w:lang w:bidi="ar"/>
                <w14:textFill>
                  <w14:solidFill>
                    <w14:schemeClr w14:val="tx1"/>
                  </w14:solidFill>
                </w14:textFill>
              </w:rPr>
              <w:t>方案</w:t>
            </w:r>
            <w:r>
              <w:rPr>
                <w:rFonts w:hint="eastAsia"/>
                <w:color w:val="000000" w:themeColor="text1"/>
                <w:sz w:val="21"/>
                <w:szCs w:val="21"/>
                <w:lang w:val="en-US" w:eastAsia="zh-CN" w:bidi="ar"/>
                <w14:textFill>
                  <w14:solidFill>
                    <w14:schemeClr w14:val="tx1"/>
                  </w14:solidFill>
                </w14:textFill>
              </w:rPr>
              <w:t>符合项目需求的</w:t>
            </w:r>
            <w:r>
              <w:rPr>
                <w:rFonts w:hint="eastAsia"/>
                <w:color w:val="000000" w:themeColor="text1"/>
                <w:sz w:val="21"/>
                <w:szCs w:val="21"/>
                <w:lang w:bidi="ar"/>
                <w14:textFill>
                  <w14:solidFill>
                    <w14:schemeClr w14:val="tx1"/>
                  </w14:solidFill>
                </w14:textFill>
              </w:rPr>
              <w:t>，得</w:t>
            </w:r>
            <w:r>
              <w:rPr>
                <w:rFonts w:hint="eastAsia"/>
                <w:color w:val="000000" w:themeColor="text1"/>
                <w:sz w:val="21"/>
                <w:szCs w:val="21"/>
                <w:lang w:val="en-US" w:eastAsia="zh-CN" w:bidi="ar"/>
                <w14:textFill>
                  <w14:solidFill>
                    <w14:schemeClr w14:val="tx1"/>
                  </w14:solidFill>
                </w14:textFill>
              </w:rPr>
              <w:t>2</w:t>
            </w:r>
            <w:r>
              <w:rPr>
                <w:rFonts w:hint="eastAsia"/>
                <w:color w:val="000000" w:themeColor="text1"/>
                <w:sz w:val="21"/>
                <w:szCs w:val="21"/>
                <w:lang w:bidi="ar"/>
                <w14:textFill>
                  <w14:solidFill>
                    <w14:schemeClr w14:val="tx1"/>
                  </w14:solidFill>
                </w14:textFill>
              </w:rPr>
              <w:t>分；</w:t>
            </w:r>
          </w:p>
          <w:p w14:paraId="11422C3D">
            <w:pPr>
              <w:pStyle w:val="7"/>
              <w:widowControl w:val="0"/>
              <w:numPr>
                <w:ilvl w:val="0"/>
                <w:numId w:val="0"/>
              </w:numPr>
              <w:spacing w:before="0" w:beforeAutospacing="0" w:after="0" w:afterAutospacing="0" w:line="560" w:lineRule="exact"/>
              <w:ind w:leftChars="0"/>
              <w:rPr>
                <w:color w:val="000000" w:themeColor="text1"/>
                <w:kern w:val="2"/>
                <w:sz w:val="21"/>
                <w:szCs w:val="21"/>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3.方案不符合或未提供的，得0分</w:t>
            </w:r>
            <w:r>
              <w:rPr>
                <w:rFonts w:hint="eastAsia"/>
                <w:color w:val="000000" w:themeColor="text1"/>
                <w:sz w:val="21"/>
                <w:szCs w:val="21"/>
                <w:lang w:bidi="ar"/>
                <w14:textFill>
                  <w14:solidFill>
                    <w14:schemeClr w14:val="tx1"/>
                  </w14:solidFill>
                </w14:textFill>
              </w:rPr>
              <w:t>。</w:t>
            </w:r>
          </w:p>
        </w:tc>
        <w:tc>
          <w:tcPr>
            <w:tcW w:w="488" w:type="pct"/>
            <w:vAlign w:val="center"/>
          </w:tcPr>
          <w:p w14:paraId="60B82F7C">
            <w:pPr>
              <w:numPr>
                <w:ilvl w:val="0"/>
                <w:numId w:val="0"/>
              </w:numPr>
              <w:spacing w:line="440" w:lineRule="exact"/>
              <w:ind w:leftChars="0"/>
              <w:jc w:val="center"/>
              <w:rPr>
                <w:rFonts w:hint="default" w:ascii="宋体" w:hAnsi="宋体" w:eastAsiaTheme="minorEastAsia"/>
                <w:color w:val="000000" w:themeColor="text1"/>
                <w:sz w:val="21"/>
                <w:szCs w:val="21"/>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4</w:t>
            </w:r>
          </w:p>
        </w:tc>
      </w:tr>
      <w:tr w14:paraId="1FF1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76" w:type="pct"/>
            <w:vMerge w:val="continue"/>
            <w:vAlign w:val="center"/>
          </w:tcPr>
          <w:p w14:paraId="0E168E6A">
            <w:pPr>
              <w:spacing w:line="460" w:lineRule="exact"/>
              <w:jc w:val="center"/>
              <w:rPr>
                <w:rFonts w:ascii="宋体" w:hAnsi="宋体" w:cs="宋体"/>
                <w:color w:val="000000" w:themeColor="text1"/>
                <w:sz w:val="21"/>
                <w:szCs w:val="21"/>
                <w14:textFill>
                  <w14:solidFill>
                    <w14:schemeClr w14:val="tx1"/>
                  </w14:solidFill>
                </w14:textFill>
              </w:rPr>
            </w:pPr>
          </w:p>
        </w:tc>
        <w:tc>
          <w:tcPr>
            <w:tcW w:w="708" w:type="pct"/>
            <w:vMerge w:val="continue"/>
            <w:vAlign w:val="center"/>
          </w:tcPr>
          <w:p w14:paraId="63CE630F">
            <w:pPr>
              <w:spacing w:line="460" w:lineRule="exact"/>
              <w:jc w:val="center"/>
              <w:rPr>
                <w:rFonts w:ascii="宋体" w:hAnsi="宋体" w:cs="宋体"/>
                <w:color w:val="000000" w:themeColor="text1"/>
                <w:sz w:val="21"/>
                <w:szCs w:val="21"/>
                <w14:textFill>
                  <w14:solidFill>
                    <w14:schemeClr w14:val="tx1"/>
                  </w14:solidFill>
                </w14:textFill>
              </w:rPr>
            </w:pPr>
          </w:p>
        </w:tc>
        <w:tc>
          <w:tcPr>
            <w:tcW w:w="3427" w:type="pct"/>
            <w:shd w:val="clear" w:color="auto" w:fill="auto"/>
            <w:vAlign w:val="center"/>
          </w:tcPr>
          <w:p w14:paraId="3DE38EF9">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bidi="ar"/>
                <w14:textFill>
                  <w14:solidFill>
                    <w14:schemeClr w14:val="tx1"/>
                  </w14:solidFill>
                </w14:textFill>
              </w:rPr>
              <w:t>6.2投标人根据本项目特点，提供的关于本项目的安全文明施工及环境保护方案。包括高空作业管理、动火作业管理、应急处理、安全管理机构设立、施工前的安全教育与培训、安全管理规范、环境保护措施等。方案以合规性、针对性、可操作性为核心，要求责任明确、措施具体、管控到位，符合现行安全环保法规及现场管理要求，具备有效风险防控与应急处置能力。</w:t>
            </w:r>
          </w:p>
          <w:p w14:paraId="0FB2A175">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1.</w:t>
            </w:r>
            <w:r>
              <w:rPr>
                <w:rFonts w:hint="eastAsia"/>
                <w:color w:val="000000" w:themeColor="text1"/>
                <w:sz w:val="21"/>
                <w:szCs w:val="21"/>
                <w:lang w:bidi="ar"/>
                <w14:textFill>
                  <w14:solidFill>
                    <w14:schemeClr w14:val="tx1"/>
                  </w14:solidFill>
                </w14:textFill>
              </w:rPr>
              <w:t>方案</w:t>
            </w:r>
            <w:r>
              <w:rPr>
                <w:rFonts w:hint="eastAsia"/>
                <w:color w:val="000000" w:themeColor="text1"/>
                <w:sz w:val="21"/>
                <w:szCs w:val="21"/>
                <w:lang w:val="en-US" w:eastAsia="zh-CN" w:bidi="ar"/>
                <w14:textFill>
                  <w14:solidFill>
                    <w14:schemeClr w14:val="tx1"/>
                  </w14:solidFill>
                </w14:textFill>
              </w:rPr>
              <w:t>优于项目需求的，得4</w:t>
            </w:r>
            <w:r>
              <w:rPr>
                <w:rFonts w:hint="eastAsia"/>
                <w:color w:val="000000" w:themeColor="text1"/>
                <w:sz w:val="21"/>
                <w:szCs w:val="21"/>
                <w:lang w:bidi="ar"/>
                <w14:textFill>
                  <w14:solidFill>
                    <w14:schemeClr w14:val="tx1"/>
                  </w14:solidFill>
                </w14:textFill>
              </w:rPr>
              <w:t>分；</w:t>
            </w:r>
          </w:p>
          <w:p w14:paraId="476E3269">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2.</w:t>
            </w:r>
            <w:r>
              <w:rPr>
                <w:rFonts w:hint="eastAsia"/>
                <w:color w:val="000000" w:themeColor="text1"/>
                <w:sz w:val="21"/>
                <w:szCs w:val="21"/>
                <w:lang w:bidi="ar"/>
                <w14:textFill>
                  <w14:solidFill>
                    <w14:schemeClr w14:val="tx1"/>
                  </w14:solidFill>
                </w14:textFill>
              </w:rPr>
              <w:t>方案</w:t>
            </w:r>
            <w:r>
              <w:rPr>
                <w:rFonts w:hint="eastAsia"/>
                <w:color w:val="000000" w:themeColor="text1"/>
                <w:sz w:val="21"/>
                <w:szCs w:val="21"/>
                <w:lang w:val="en-US" w:eastAsia="zh-CN" w:bidi="ar"/>
                <w14:textFill>
                  <w14:solidFill>
                    <w14:schemeClr w14:val="tx1"/>
                  </w14:solidFill>
                </w14:textFill>
              </w:rPr>
              <w:t>符合项目需求的</w:t>
            </w:r>
            <w:r>
              <w:rPr>
                <w:rFonts w:hint="eastAsia"/>
                <w:color w:val="000000" w:themeColor="text1"/>
                <w:sz w:val="21"/>
                <w:szCs w:val="21"/>
                <w:lang w:bidi="ar"/>
                <w14:textFill>
                  <w14:solidFill>
                    <w14:schemeClr w14:val="tx1"/>
                  </w14:solidFill>
                </w14:textFill>
              </w:rPr>
              <w:t>，得</w:t>
            </w:r>
            <w:r>
              <w:rPr>
                <w:rFonts w:hint="eastAsia"/>
                <w:color w:val="000000" w:themeColor="text1"/>
                <w:sz w:val="21"/>
                <w:szCs w:val="21"/>
                <w:lang w:val="en-US" w:eastAsia="zh-CN" w:bidi="ar"/>
                <w14:textFill>
                  <w14:solidFill>
                    <w14:schemeClr w14:val="tx1"/>
                  </w14:solidFill>
                </w14:textFill>
              </w:rPr>
              <w:t>2</w:t>
            </w:r>
            <w:r>
              <w:rPr>
                <w:rFonts w:hint="eastAsia"/>
                <w:color w:val="000000" w:themeColor="text1"/>
                <w:sz w:val="21"/>
                <w:szCs w:val="21"/>
                <w:lang w:bidi="ar"/>
                <w14:textFill>
                  <w14:solidFill>
                    <w14:schemeClr w14:val="tx1"/>
                  </w14:solidFill>
                </w14:textFill>
              </w:rPr>
              <w:t>分；</w:t>
            </w:r>
          </w:p>
          <w:p w14:paraId="6E968B13">
            <w:pPr>
              <w:numPr>
                <w:ilvl w:val="0"/>
                <w:numId w:val="0"/>
              </w:numPr>
              <w:autoSpaceDE w:val="0"/>
              <w:autoSpaceDN w:val="0"/>
              <w:adjustRightInd w:val="0"/>
              <w:snapToGrid w:val="0"/>
              <w:spacing w:line="560" w:lineRule="exact"/>
              <w:ind w:leftChars="0" w:firstLine="420" w:firstLineChars="200"/>
              <w:jc w:val="left"/>
              <w:rPr>
                <w:rFonts w:ascii="宋体" w:hAnsi="宋体" w:cs="宋体"/>
                <w:color w:val="000000" w:themeColor="text1"/>
                <w:sz w:val="21"/>
                <w:szCs w:val="21"/>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3.方案不符合或未提供的，得0分</w:t>
            </w:r>
            <w:r>
              <w:rPr>
                <w:rFonts w:hint="eastAsia"/>
                <w:color w:val="000000" w:themeColor="text1"/>
                <w:sz w:val="21"/>
                <w:szCs w:val="21"/>
                <w:lang w:bidi="ar"/>
                <w14:textFill>
                  <w14:solidFill>
                    <w14:schemeClr w14:val="tx1"/>
                  </w14:solidFill>
                </w14:textFill>
              </w:rPr>
              <w:t>。</w:t>
            </w:r>
          </w:p>
        </w:tc>
        <w:tc>
          <w:tcPr>
            <w:tcW w:w="488" w:type="pct"/>
            <w:vAlign w:val="center"/>
          </w:tcPr>
          <w:p w14:paraId="4C6309F1">
            <w:pPr>
              <w:numPr>
                <w:ilvl w:val="0"/>
                <w:numId w:val="0"/>
              </w:numPr>
              <w:spacing w:line="440" w:lineRule="exact"/>
              <w:ind w:leftChars="0"/>
              <w:jc w:val="center"/>
              <w:rPr>
                <w:rFonts w:hint="default" w:ascii="宋体" w:hAnsi="宋体" w:cs="宋体" w:eastAsiaTheme="minorEastAsia"/>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w:t>
            </w:r>
          </w:p>
        </w:tc>
      </w:tr>
      <w:tr w14:paraId="1953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76" w:type="pct"/>
            <w:vMerge w:val="continue"/>
          </w:tcPr>
          <w:p w14:paraId="0BDFD93C">
            <w:pPr>
              <w:spacing w:line="460" w:lineRule="exact"/>
              <w:jc w:val="center"/>
              <w:rPr>
                <w:rFonts w:ascii="宋体" w:hAnsi="宋体" w:cs="宋体"/>
                <w:color w:val="000000" w:themeColor="text1"/>
                <w:sz w:val="21"/>
                <w:szCs w:val="21"/>
                <w14:textFill>
                  <w14:solidFill>
                    <w14:schemeClr w14:val="tx1"/>
                  </w14:solidFill>
                </w14:textFill>
              </w:rPr>
            </w:pPr>
          </w:p>
        </w:tc>
        <w:tc>
          <w:tcPr>
            <w:tcW w:w="708" w:type="pct"/>
            <w:vMerge w:val="continue"/>
          </w:tcPr>
          <w:p w14:paraId="3A5811CF">
            <w:pPr>
              <w:spacing w:line="460" w:lineRule="exact"/>
              <w:jc w:val="center"/>
              <w:rPr>
                <w:rFonts w:ascii="宋体" w:hAnsi="宋体" w:cs="宋体"/>
                <w:color w:val="000000" w:themeColor="text1"/>
                <w:sz w:val="21"/>
                <w:szCs w:val="21"/>
                <w14:textFill>
                  <w14:solidFill>
                    <w14:schemeClr w14:val="tx1"/>
                  </w14:solidFill>
                </w14:textFill>
              </w:rPr>
            </w:pPr>
          </w:p>
        </w:tc>
        <w:tc>
          <w:tcPr>
            <w:tcW w:w="3427" w:type="pct"/>
            <w:shd w:val="clear" w:color="auto" w:fill="auto"/>
            <w:vAlign w:val="center"/>
          </w:tcPr>
          <w:p w14:paraId="66864DA8">
            <w:pPr>
              <w:pStyle w:val="7"/>
              <w:widowControl w:val="0"/>
              <w:spacing w:before="0" w:beforeAutospacing="0" w:after="0" w:afterAutospacing="0"/>
              <w:ind w:firstLine="420"/>
              <w:rPr>
                <w:rFonts w:hint="eastAsia"/>
                <w:color w:val="000000" w:themeColor="text1"/>
                <w:sz w:val="21"/>
                <w:szCs w:val="21"/>
                <w:lang w:bidi="ar"/>
                <w14:textFill>
                  <w14:solidFill>
                    <w14:schemeClr w14:val="tx1"/>
                  </w14:solidFill>
                </w14:textFill>
              </w:rPr>
            </w:pPr>
            <w:r>
              <w:rPr>
                <w:rFonts w:hint="eastAsia"/>
                <w:color w:val="000000" w:themeColor="text1"/>
                <w:sz w:val="21"/>
                <w:szCs w:val="21"/>
                <w:lang w:bidi="ar"/>
                <w14:textFill>
                  <w14:solidFill>
                    <w14:schemeClr w14:val="tx1"/>
                  </w14:solidFill>
                </w14:textFill>
              </w:rPr>
              <w:t>6.3投标人根据本项目空调安装特点，提供本项目空调安装质量保障方案。方案包括空调安装施工质量检查机制、空调设备及管路成品保护、现状设施的拆除与恢复、空调安装常见隐患排查、空调安装各工序验收标准、空调安装质量问题排查整改机制等。方案需贴合本项目大批量空调安装的实际工况，兼具科学性、针对性和可操作性，严格满足空调安装质量达标要求，做到责任分工明确、安装过程管控具体、质量整改闭环高效，有效防范各类空调安装质量隐患，符合空调安装行业规范及本项目相关质量要求。</w:t>
            </w:r>
          </w:p>
          <w:p w14:paraId="78562809">
            <w:pPr>
              <w:pStyle w:val="7"/>
              <w:widowControl w:val="0"/>
              <w:spacing w:before="0" w:beforeAutospacing="0" w:after="0" w:afterAutospacing="0"/>
              <w:ind w:firstLine="420"/>
              <w:rPr>
                <w:rFonts w:hint="eastAsia"/>
                <w:color w:val="000000" w:themeColor="text1"/>
                <w:sz w:val="21"/>
                <w:szCs w:val="21"/>
                <w:lang w:val="en-US" w:eastAsia="zh-CN"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1.方案优于项目需求的，4分；</w:t>
            </w:r>
          </w:p>
          <w:p w14:paraId="2524FE88">
            <w:pPr>
              <w:pStyle w:val="7"/>
              <w:widowControl w:val="0"/>
              <w:spacing w:before="0" w:beforeAutospacing="0" w:after="0" w:afterAutospacing="0"/>
              <w:ind w:firstLine="420"/>
              <w:rPr>
                <w:rFonts w:hint="eastAsia"/>
                <w:color w:val="000000" w:themeColor="text1"/>
                <w:sz w:val="21"/>
                <w:szCs w:val="21"/>
                <w:lang w:val="en-US" w:eastAsia="zh-CN" w:bidi="ar"/>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2.方案符合项目需求的，得2分；</w:t>
            </w:r>
          </w:p>
          <w:p w14:paraId="1F6E3692">
            <w:pPr>
              <w:numPr>
                <w:ilvl w:val="0"/>
                <w:numId w:val="0"/>
              </w:numPr>
              <w:autoSpaceDE w:val="0"/>
              <w:autoSpaceDN w:val="0"/>
              <w:adjustRightInd w:val="0"/>
              <w:snapToGrid w:val="0"/>
              <w:spacing w:line="560" w:lineRule="exact"/>
              <w:ind w:leftChars="0" w:firstLine="420" w:firstLineChars="200"/>
              <w:jc w:val="left"/>
              <w:rPr>
                <w:rFonts w:ascii="宋体" w:hAnsi="宋体" w:cs="宋体"/>
                <w:color w:val="000000" w:themeColor="text1"/>
                <w:sz w:val="21"/>
                <w:szCs w:val="21"/>
                <w14:textFill>
                  <w14:solidFill>
                    <w14:schemeClr w14:val="tx1"/>
                  </w14:solidFill>
                </w14:textFill>
              </w:rPr>
            </w:pPr>
            <w:r>
              <w:rPr>
                <w:rFonts w:hint="eastAsia"/>
                <w:color w:val="000000" w:themeColor="text1"/>
                <w:sz w:val="21"/>
                <w:szCs w:val="21"/>
                <w:lang w:val="en-US" w:eastAsia="zh-CN" w:bidi="ar"/>
                <w14:textFill>
                  <w14:solidFill>
                    <w14:schemeClr w14:val="tx1"/>
                  </w14:solidFill>
                </w14:textFill>
              </w:rPr>
              <w:t>3.方案不符合或未提供的，得0分。</w:t>
            </w:r>
          </w:p>
        </w:tc>
        <w:tc>
          <w:tcPr>
            <w:tcW w:w="488" w:type="pct"/>
            <w:vAlign w:val="center"/>
          </w:tcPr>
          <w:p w14:paraId="0EEE9CD8">
            <w:pPr>
              <w:numPr>
                <w:ilvl w:val="0"/>
                <w:numId w:val="0"/>
              </w:numPr>
              <w:spacing w:line="440" w:lineRule="exact"/>
              <w:ind w:leftChars="0"/>
              <w:jc w:val="center"/>
              <w:rPr>
                <w:rFonts w:hint="default" w:ascii="宋体" w:hAnsi="宋体" w:cs="宋体" w:eastAsiaTheme="minorEastAsia"/>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w:t>
            </w:r>
          </w:p>
        </w:tc>
      </w:tr>
      <w:tr w14:paraId="58B4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376" w:type="pct"/>
            <w:vAlign w:val="center"/>
          </w:tcPr>
          <w:p w14:paraId="3736158E">
            <w:pPr>
              <w:numPr>
                <w:ilvl w:val="0"/>
                <w:numId w:val="0"/>
              </w:numPr>
              <w:spacing w:line="460" w:lineRule="exact"/>
              <w:ind w:leftChars="0"/>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7</w:t>
            </w:r>
          </w:p>
        </w:tc>
        <w:tc>
          <w:tcPr>
            <w:tcW w:w="708" w:type="pct"/>
            <w:vMerge w:val="restart"/>
            <w:vAlign w:val="center"/>
          </w:tcPr>
          <w:p w14:paraId="786F0980">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p w14:paraId="7FF2DC6E">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p w14:paraId="5A8C4106">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p w14:paraId="3F143EB6">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项目售后服务保障</w:t>
            </w:r>
          </w:p>
        </w:tc>
        <w:tc>
          <w:tcPr>
            <w:tcW w:w="3427" w:type="pct"/>
            <w:shd w:val="clear" w:color="auto" w:fill="auto"/>
            <w:vAlign w:val="center"/>
          </w:tcPr>
          <w:p w14:paraId="01EB107B">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投标人根据本项目特点，提供完整的售后服务方案。需全面包含服务体系架构、核心服务内容、故障应急解决方案、专业技术人员保障、24 小时服务热线及响应机制、操作使用培训方案、备品备件保障、定期巡检维护、质保期内及质保期后服务细则、客户投诉处理流程、售后服务台账管理等核心内容。方案以响应高效、保障到位、流程规范、可落地性强为标准，要求人员专业、备件充足、机制健全、记录完整，满足项目全周期使用与运维需求。</w:t>
            </w:r>
          </w:p>
          <w:p w14:paraId="3BBBB2E8">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1.方案优于项目需求的，得</w:t>
            </w:r>
            <w:r>
              <w:rPr>
                <w:rFonts w:hint="eastAsia" w:cs="宋体"/>
                <w:color w:val="000000" w:themeColor="text1"/>
                <w:sz w:val="21"/>
                <w:szCs w:val="21"/>
                <w:lang w:val="en-US" w:eastAsia="zh-CN" w:bidi="ar"/>
                <w14:textFill>
                  <w14:solidFill>
                    <w14:schemeClr w14:val="tx1"/>
                  </w14:solidFill>
                </w14:textFill>
              </w:rPr>
              <w:t>4</w:t>
            </w:r>
            <w:r>
              <w:rPr>
                <w:rFonts w:hint="eastAsia" w:ascii="宋体" w:hAnsi="宋体" w:eastAsia="宋体" w:cs="宋体"/>
                <w:color w:val="000000" w:themeColor="text1"/>
                <w:sz w:val="21"/>
                <w:szCs w:val="21"/>
                <w:lang w:val="en-US" w:eastAsia="zh-CN" w:bidi="ar"/>
                <w14:textFill>
                  <w14:solidFill>
                    <w14:schemeClr w14:val="tx1"/>
                  </w14:solidFill>
                </w14:textFill>
              </w:rPr>
              <w:t>分；</w:t>
            </w:r>
          </w:p>
          <w:p w14:paraId="484C46FD">
            <w:pPr>
              <w:pStyle w:val="7"/>
              <w:widowControl w:val="0"/>
              <w:spacing w:before="0" w:beforeAutospacing="0" w:after="0" w:afterAutospacing="0"/>
              <w:ind w:firstLine="420"/>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2.方案符合项目需求的，得</w:t>
            </w:r>
            <w:r>
              <w:rPr>
                <w:rFonts w:hint="eastAsia" w:cs="宋体"/>
                <w:color w:val="000000" w:themeColor="text1"/>
                <w:sz w:val="21"/>
                <w:szCs w:val="21"/>
                <w:lang w:val="en-US" w:eastAsia="zh-CN" w:bidi="ar"/>
                <w14:textFill>
                  <w14:solidFill>
                    <w14:schemeClr w14:val="tx1"/>
                  </w14:solidFill>
                </w14:textFill>
              </w:rPr>
              <w:t>2</w:t>
            </w:r>
            <w:r>
              <w:rPr>
                <w:rFonts w:hint="eastAsia" w:ascii="宋体" w:hAnsi="宋体" w:eastAsia="宋体" w:cs="宋体"/>
                <w:color w:val="000000" w:themeColor="text1"/>
                <w:sz w:val="21"/>
                <w:szCs w:val="21"/>
                <w:lang w:val="en-US" w:eastAsia="zh-CN" w:bidi="ar"/>
                <w14:textFill>
                  <w14:solidFill>
                    <w14:schemeClr w14:val="tx1"/>
                  </w14:solidFill>
                </w14:textFill>
              </w:rPr>
              <w:t>分；</w:t>
            </w:r>
          </w:p>
          <w:p w14:paraId="3D5DF6A5">
            <w:pPr>
              <w:numPr>
                <w:ilvl w:val="0"/>
                <w:numId w:val="0"/>
              </w:numPr>
              <w:autoSpaceDE w:val="0"/>
              <w:autoSpaceDN w:val="0"/>
              <w:adjustRightInd w:val="0"/>
              <w:snapToGrid w:val="0"/>
              <w:spacing w:line="560" w:lineRule="exact"/>
              <w:ind w:leftChars="0" w:firstLine="210" w:firstLineChars="100"/>
              <w:jc w:val="left"/>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3.方案不符合或未提供的，得0分。</w:t>
            </w:r>
          </w:p>
        </w:tc>
        <w:tc>
          <w:tcPr>
            <w:tcW w:w="488" w:type="pct"/>
            <w:vAlign w:val="center"/>
          </w:tcPr>
          <w:p w14:paraId="0E692A15">
            <w:pPr>
              <w:numPr>
                <w:ilvl w:val="0"/>
                <w:numId w:val="0"/>
              </w:numPr>
              <w:spacing w:line="440" w:lineRule="exact"/>
              <w:ind w:leftChars="0"/>
              <w:jc w:val="center"/>
              <w:rPr>
                <w:rFonts w:hint="default" w:ascii="宋体" w:hAnsi="宋体" w:cs="宋体" w:eastAsiaTheme="minorEastAsia"/>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w:t>
            </w:r>
          </w:p>
        </w:tc>
      </w:tr>
      <w:tr w14:paraId="07AB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376" w:type="pct"/>
            <w:vAlign w:val="center"/>
          </w:tcPr>
          <w:p w14:paraId="4E3FB1F2">
            <w:pPr>
              <w:numPr>
                <w:ilvl w:val="0"/>
                <w:numId w:val="0"/>
              </w:numPr>
              <w:spacing w:line="460" w:lineRule="exact"/>
              <w:ind w:leftChars="0"/>
              <w:jc w:val="center"/>
              <w:rPr>
                <w:rFonts w:hint="eastAsia" w:ascii="宋体" w:hAnsi="宋体" w:cs="宋体" w:eastAsiaTheme="minorEastAsia"/>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8</w:t>
            </w:r>
          </w:p>
        </w:tc>
        <w:tc>
          <w:tcPr>
            <w:tcW w:w="708" w:type="pct"/>
            <w:vMerge w:val="continue"/>
            <w:vAlign w:val="center"/>
          </w:tcPr>
          <w:p w14:paraId="63B7CA89">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tc>
        <w:tc>
          <w:tcPr>
            <w:tcW w:w="3427" w:type="pct"/>
            <w:shd w:val="clear" w:color="auto" w:fill="auto"/>
            <w:vAlign w:val="center"/>
          </w:tcPr>
          <w:p w14:paraId="562EBD02">
            <w:pPr>
              <w:numPr>
                <w:ilvl w:val="0"/>
                <w:numId w:val="0"/>
              </w:numPr>
              <w:autoSpaceDE w:val="0"/>
              <w:autoSpaceDN w:val="0"/>
              <w:adjustRightInd w:val="0"/>
              <w:snapToGrid w:val="0"/>
              <w:spacing w:line="560" w:lineRule="exact"/>
              <w:ind w:leftChars="0" w:firstLine="420" w:firstLineChars="200"/>
              <w:jc w:val="left"/>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投标单位具有国家标准（商品售后服务评价体系）售后服务认证证书：通过五星及以上认证的得3分，通过四星认证的得2分，三星及以下的得1分，最高得3分（投标文件中需提供证明材料的扫描件并加盖投标单位公章，未提供不得分）。</w:t>
            </w:r>
          </w:p>
        </w:tc>
        <w:tc>
          <w:tcPr>
            <w:tcW w:w="488" w:type="pct"/>
            <w:vAlign w:val="center"/>
          </w:tcPr>
          <w:p w14:paraId="3EE0DCDC">
            <w:pPr>
              <w:numPr>
                <w:ilvl w:val="0"/>
                <w:numId w:val="0"/>
              </w:numPr>
              <w:spacing w:line="440" w:lineRule="exact"/>
              <w:ind w:leftChars="0"/>
              <w:jc w:val="center"/>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3</w:t>
            </w:r>
          </w:p>
        </w:tc>
      </w:tr>
      <w:tr w14:paraId="43B7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376" w:type="pct"/>
            <w:vAlign w:val="center"/>
          </w:tcPr>
          <w:p w14:paraId="6A5AEF75">
            <w:pPr>
              <w:numPr>
                <w:ilvl w:val="0"/>
                <w:numId w:val="0"/>
              </w:numPr>
              <w:spacing w:line="460" w:lineRule="exact"/>
              <w:ind w:leftChars="0"/>
              <w:jc w:val="center"/>
              <w:rPr>
                <w:rFonts w:hint="eastAsia" w:ascii="宋体" w:hAnsi="宋体" w:cs="宋体"/>
                <w:color w:val="000000" w:themeColor="text1"/>
                <w:sz w:val="21"/>
                <w:szCs w:val="21"/>
                <w:lang w:val="en-US" w:eastAsia="zh-CN"/>
                <w14:textFill>
                  <w14:solidFill>
                    <w14:schemeClr w14:val="tx1"/>
                  </w14:solidFill>
                </w14:textFill>
              </w:rPr>
            </w:pPr>
          </w:p>
        </w:tc>
        <w:tc>
          <w:tcPr>
            <w:tcW w:w="708" w:type="pct"/>
            <w:vAlign w:val="center"/>
          </w:tcPr>
          <w:p w14:paraId="4928F325">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tc>
        <w:tc>
          <w:tcPr>
            <w:tcW w:w="3427" w:type="pct"/>
            <w:shd w:val="clear" w:color="auto" w:fill="auto"/>
            <w:vAlign w:val="center"/>
          </w:tcPr>
          <w:p w14:paraId="19A4D977">
            <w:pPr>
              <w:widowControl/>
              <w:jc w:val="left"/>
              <w:rPr>
                <w:rFonts w:hint="eastAsia" w:ascii="宋体" w:hAnsi="宋体" w:cs="宋体"/>
                <w:color w:val="000000" w:themeColor="text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投标人维修响应时间承诺：</w:t>
            </w:r>
          </w:p>
          <w:p w14:paraId="2062AEB3">
            <w:pPr>
              <w:widowControl/>
              <w:ind w:firstLine="420"/>
              <w:jc w:val="left"/>
              <w:rPr>
                <w:rFonts w:hint="eastAsia" w:ascii="宋体" w:hAnsi="宋体" w:cs="宋体"/>
                <w:color w:val="000000" w:themeColor="text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一般不需返修件故障在24小时内修复，需返修件故障72小时内修复的，不得分。</w:t>
            </w:r>
          </w:p>
          <w:p w14:paraId="4C8B5EBC">
            <w:pPr>
              <w:widowControl/>
              <w:ind w:firstLine="420"/>
              <w:jc w:val="left"/>
              <w:rPr>
                <w:rFonts w:hint="eastAsia" w:ascii="宋体" w:hAnsi="宋体" w:cs="宋体"/>
                <w:color w:val="000000" w:themeColor="text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一般不需返修件故障在12小时内修复，需返修件故障48小时内修复的，得1分。</w:t>
            </w:r>
          </w:p>
          <w:p w14:paraId="254588D6">
            <w:pPr>
              <w:widowControl/>
              <w:ind w:firstLine="420"/>
              <w:jc w:val="left"/>
              <w:rPr>
                <w:rFonts w:hint="eastAsia" w:ascii="宋体" w:hAnsi="宋体" w:cs="宋体"/>
                <w:color w:val="000000" w:themeColor="text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一般不需返修件故障在6小时内修复，需返修件故障18小时内修复的，得3分。</w:t>
            </w:r>
          </w:p>
          <w:p w14:paraId="153B58A4">
            <w:pPr>
              <w:numPr>
                <w:ilvl w:val="0"/>
                <w:numId w:val="0"/>
              </w:numPr>
              <w:autoSpaceDE w:val="0"/>
              <w:autoSpaceDN w:val="0"/>
              <w:adjustRightInd w:val="0"/>
              <w:snapToGrid w:val="0"/>
              <w:spacing w:line="560" w:lineRule="exact"/>
              <w:ind w:leftChars="0" w:firstLine="420" w:firstLineChars="200"/>
              <w:jc w:val="left"/>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（提供承诺函，承诺严格满足相关维修时效要求，若超出时效，校方有权自行启用第三方维修，由此产生的全部相关费用由投标人全额承担，承诺函格式自拟，加盖公章）。</w:t>
            </w:r>
          </w:p>
        </w:tc>
        <w:tc>
          <w:tcPr>
            <w:tcW w:w="488" w:type="pct"/>
            <w:vAlign w:val="center"/>
          </w:tcPr>
          <w:p w14:paraId="1F29939D">
            <w:pPr>
              <w:numPr>
                <w:ilvl w:val="0"/>
                <w:numId w:val="0"/>
              </w:numPr>
              <w:spacing w:line="440" w:lineRule="exact"/>
              <w:ind w:leftChars="0"/>
              <w:jc w:val="center"/>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3</w:t>
            </w:r>
          </w:p>
        </w:tc>
      </w:tr>
      <w:tr w14:paraId="4E2A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376" w:type="pct"/>
            <w:vAlign w:val="center"/>
          </w:tcPr>
          <w:p w14:paraId="31250E16">
            <w:pPr>
              <w:numPr>
                <w:ilvl w:val="0"/>
                <w:numId w:val="0"/>
              </w:numPr>
              <w:spacing w:line="460" w:lineRule="exact"/>
              <w:ind w:leftChars="0"/>
              <w:jc w:val="center"/>
              <w:rPr>
                <w:rFonts w:hint="eastAsia" w:ascii="宋体" w:hAnsi="宋体" w:cs="宋体"/>
                <w:color w:val="000000" w:themeColor="text1"/>
                <w:sz w:val="21"/>
                <w:szCs w:val="21"/>
                <w:lang w:val="en-US" w:eastAsia="zh-CN"/>
                <w14:textFill>
                  <w14:solidFill>
                    <w14:schemeClr w14:val="tx1"/>
                  </w14:solidFill>
                </w14:textFill>
              </w:rPr>
            </w:pPr>
          </w:p>
        </w:tc>
        <w:tc>
          <w:tcPr>
            <w:tcW w:w="708" w:type="pct"/>
            <w:vAlign w:val="center"/>
          </w:tcPr>
          <w:p w14:paraId="04C77A20">
            <w:pPr>
              <w:numPr>
                <w:ilvl w:val="0"/>
                <w:numId w:val="0"/>
              </w:numPr>
              <w:autoSpaceDE w:val="0"/>
              <w:autoSpaceDN w:val="0"/>
              <w:adjustRightInd w:val="0"/>
              <w:snapToGrid w:val="0"/>
              <w:spacing w:line="560" w:lineRule="exact"/>
              <w:ind w:leftChars="0"/>
              <w:jc w:val="left"/>
              <w:rPr>
                <w:rFonts w:hint="eastAsia" w:ascii="宋体" w:hAnsi="宋体" w:eastAsia="宋体" w:cs="宋体"/>
                <w:color w:val="000000" w:themeColor="text1"/>
                <w:sz w:val="21"/>
                <w:szCs w:val="21"/>
                <w:lang w:val="en-US" w:eastAsia="zh-CN" w:bidi="ar"/>
                <w14:textFill>
                  <w14:solidFill>
                    <w14:schemeClr w14:val="tx1"/>
                  </w14:solidFill>
                </w14:textFill>
              </w:rPr>
            </w:pPr>
          </w:p>
        </w:tc>
        <w:tc>
          <w:tcPr>
            <w:tcW w:w="3427" w:type="pct"/>
            <w:shd w:val="clear" w:color="auto" w:fill="auto"/>
            <w:vAlign w:val="center"/>
          </w:tcPr>
          <w:p w14:paraId="6D957F47">
            <w:pPr>
              <w:widowControl/>
              <w:ind w:firstLine="420"/>
              <w:jc w:val="left"/>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配备专职售后服务人员大于等于3人的得2分;大于等于2人得1分，少于2人得0分。</w:t>
            </w:r>
          </w:p>
          <w:p w14:paraId="3EC9446B">
            <w:pPr>
              <w:widowControl/>
              <w:ind w:firstLine="420"/>
              <w:jc w:val="left"/>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1.须提供供应商为拟委任人员缴纳的</w:t>
            </w:r>
            <w:r>
              <w:rPr>
                <w:rFonts w:hint="eastAsia"/>
              </w:rPr>
              <w:t>近三个月任意一个月</w:t>
            </w:r>
            <w:r>
              <w:rPr>
                <w:rFonts w:hint="eastAsia" w:ascii="宋体" w:hAnsi="宋体" w:cs="宋体"/>
                <w:color w:val="000000" w:themeColor="text1"/>
                <w:szCs w:val="21"/>
                <w:lang w:bidi="ar"/>
                <w14:textFill>
                  <w14:solidFill>
                    <w14:schemeClr w14:val="tx1"/>
                  </w14:solidFill>
                </w14:textFill>
              </w:rPr>
              <w:t>社保证明材料扫描件或</w:t>
            </w:r>
            <w:r>
              <w:rPr>
                <w:rFonts w:hint="eastAsia" w:ascii="宋体" w:hAnsi="宋体" w:cs="宋体"/>
                <w:color w:val="000000" w:themeColor="text1"/>
                <w:szCs w:val="21"/>
                <w:lang w:val="en-US" w:eastAsia="zh-CN" w:bidi="ar"/>
                <w14:textFill>
                  <w14:solidFill>
                    <w14:schemeClr w14:val="tx1"/>
                  </w14:solidFill>
                </w14:textFill>
              </w:rPr>
              <w:t>复</w:t>
            </w:r>
            <w:r>
              <w:rPr>
                <w:rFonts w:hint="eastAsia" w:ascii="宋体" w:hAnsi="宋体" w:cs="宋体"/>
                <w:color w:val="000000" w:themeColor="text1"/>
                <w:szCs w:val="21"/>
                <w:lang w:bidi="ar"/>
                <w14:textFill>
                  <w14:solidFill>
                    <w14:schemeClr w14:val="tx1"/>
                  </w14:solidFill>
                </w14:textFill>
              </w:rPr>
              <w:t>印件。</w:t>
            </w:r>
          </w:p>
          <w:p w14:paraId="598F942D">
            <w:pPr>
              <w:numPr>
                <w:ilvl w:val="0"/>
                <w:numId w:val="0"/>
              </w:numPr>
              <w:autoSpaceDE w:val="0"/>
              <w:autoSpaceDN w:val="0"/>
              <w:adjustRightInd w:val="0"/>
              <w:snapToGrid w:val="0"/>
              <w:spacing w:line="560" w:lineRule="exact"/>
              <w:ind w:leftChars="0" w:firstLine="420" w:firstLineChars="200"/>
              <w:jc w:val="left"/>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社保缴费证明（或社保的有效证明材料</w:t>
            </w:r>
            <w:r>
              <w:rPr>
                <w:rFonts w:hint="eastAsia" w:ascii="宋体" w:hAnsi="宋体" w:cs="宋体"/>
                <w:color w:val="000000" w:themeColor="text1"/>
                <w:szCs w:val="21"/>
                <w:lang w:bidi="ar"/>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指的是至少含养老保险、医疗保险、工伤保险、失业保险中任意一项即可。社会保险的缴纳单位应当是供应商或者供应商不具备独立法人资格的分支机构</w:t>
            </w:r>
            <w:r>
              <w:rPr>
                <w:rFonts w:hint="eastAsia" w:ascii="宋体" w:hAnsi="宋体" w:cs="宋体"/>
                <w:color w:val="000000" w:themeColor="text1"/>
                <w:szCs w:val="21"/>
                <w:lang w:bidi="ar"/>
                <w14:textFill>
                  <w14:solidFill>
                    <w14:schemeClr w14:val="tx1"/>
                  </w14:solidFill>
                </w14:textFill>
              </w:rPr>
              <w:t>。</w:t>
            </w:r>
          </w:p>
        </w:tc>
        <w:tc>
          <w:tcPr>
            <w:tcW w:w="488" w:type="pct"/>
            <w:vAlign w:val="center"/>
          </w:tcPr>
          <w:p w14:paraId="72EC7909">
            <w:pPr>
              <w:numPr>
                <w:ilvl w:val="0"/>
                <w:numId w:val="0"/>
              </w:numPr>
              <w:spacing w:line="440" w:lineRule="exact"/>
              <w:ind w:leftChars="0"/>
              <w:jc w:val="center"/>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2</w:t>
            </w:r>
          </w:p>
        </w:tc>
      </w:tr>
      <w:tr w14:paraId="76DA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376" w:type="pct"/>
            <w:shd w:val="clear" w:color="auto" w:fill="auto"/>
            <w:vAlign w:val="center"/>
          </w:tcPr>
          <w:p w14:paraId="304B936C">
            <w:pPr>
              <w:jc w:val="center"/>
              <w:rPr>
                <w:rFonts w:hint="eastAsia" w:ascii="宋体" w:hAnsi="宋体" w:cs="宋体" w:eastAsiaTheme="minorEastAsia"/>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11</w:t>
            </w:r>
          </w:p>
        </w:tc>
        <w:tc>
          <w:tcPr>
            <w:tcW w:w="708" w:type="pct"/>
            <w:shd w:val="clear" w:color="auto" w:fill="auto"/>
            <w:vAlign w:val="center"/>
          </w:tcPr>
          <w:p w14:paraId="1FA2229C">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环保</w:t>
            </w:r>
          </w:p>
        </w:tc>
        <w:tc>
          <w:tcPr>
            <w:tcW w:w="3427" w:type="pct"/>
            <w:shd w:val="clear" w:color="auto" w:fill="auto"/>
            <w:vAlign w:val="center"/>
          </w:tcPr>
          <w:p w14:paraId="646BD487">
            <w:pPr>
              <w:widowControl/>
              <w:ind w:firstLine="420" w:firstLineChars="0"/>
              <w:jc w:val="left"/>
              <w:rPr>
                <w:rFonts w:hint="eastAsia" w:ascii="宋体" w:hAnsi="宋体" w:cs="宋体" w:eastAsiaTheme="minorEastAsia"/>
                <w:color w:val="000000" w:themeColor="text1"/>
                <w:kern w:val="2"/>
                <w:sz w:val="21"/>
                <w:szCs w:val="21"/>
                <w:lang w:val="en-US" w:eastAsia="zh-CN"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投标产品属于财政部、生态环境部公布的“环境标志产品品目清单”范围内的，投标人提供国家确定的认证机构出具的、处于有效期内的该投标产品环境标志产品认证证书复印件的，有1个得0.5分，最多得1分。</w:t>
            </w:r>
          </w:p>
        </w:tc>
        <w:tc>
          <w:tcPr>
            <w:tcW w:w="488" w:type="pct"/>
            <w:shd w:val="clear" w:color="auto" w:fill="auto"/>
            <w:vAlign w:val="center"/>
          </w:tcPr>
          <w:p w14:paraId="74B2542E">
            <w:pPr>
              <w:ind w:left="17" w:leftChars="0" w:hanging="17" w:firstLineChars="0"/>
              <w:jc w:val="center"/>
              <w:rPr>
                <w:rFonts w:hint="eastAsia" w:ascii="宋体" w:hAnsi="宋体" w:eastAsia="宋体" w:cs="宋体"/>
                <w:color w:val="000000" w:themeColor="text1"/>
                <w:kern w:val="2"/>
                <w:sz w:val="21"/>
                <w:szCs w:val="21"/>
                <w:lang w:val="en-US" w:eastAsia="zh-CN" w:bidi="ar"/>
                <w14:textFill>
                  <w14:solidFill>
                    <w14:schemeClr w14:val="tx1"/>
                  </w14:solidFill>
                </w14:textFill>
              </w:rPr>
            </w:pPr>
            <w:r>
              <w:rPr>
                <w:rFonts w:hint="eastAsia" w:ascii="宋体" w:hAnsi="宋体" w:cs="宋体"/>
                <w:color w:val="000000" w:themeColor="text1"/>
                <w:szCs w:val="21"/>
                <w:lang w:val="en-US" w:eastAsia="zh-CN" w:bidi="ar"/>
                <w14:textFill>
                  <w14:solidFill>
                    <w14:schemeClr w14:val="tx1"/>
                  </w14:solidFill>
                </w14:textFill>
              </w:rPr>
              <w:t>1</w:t>
            </w:r>
          </w:p>
        </w:tc>
      </w:tr>
      <w:tr w14:paraId="3F36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511" w:type="pct"/>
            <w:gridSpan w:val="3"/>
            <w:vAlign w:val="center"/>
          </w:tcPr>
          <w:p w14:paraId="6182A1C4">
            <w:pPr>
              <w:numPr>
                <w:ilvl w:val="0"/>
                <w:numId w:val="0"/>
              </w:numPr>
              <w:autoSpaceDE w:val="0"/>
              <w:autoSpaceDN w:val="0"/>
              <w:adjustRightInd w:val="0"/>
              <w:snapToGrid w:val="0"/>
              <w:spacing w:line="560" w:lineRule="exact"/>
              <w:ind w:leftChars="0"/>
              <w:jc w:val="left"/>
              <w:rPr>
                <w:rFonts w:hint="default" w:ascii="宋体" w:hAnsi="宋体" w:eastAsia="宋体" w:cs="宋体"/>
                <w:color w:val="000000" w:themeColor="text1"/>
                <w:sz w:val="21"/>
                <w:szCs w:val="21"/>
                <w:lang w:val="en-US"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总分</w:t>
            </w:r>
          </w:p>
        </w:tc>
        <w:tc>
          <w:tcPr>
            <w:tcW w:w="488" w:type="pct"/>
            <w:vAlign w:val="center"/>
          </w:tcPr>
          <w:p w14:paraId="764760C1">
            <w:pPr>
              <w:numPr>
                <w:ilvl w:val="0"/>
                <w:numId w:val="0"/>
              </w:numPr>
              <w:spacing w:line="440" w:lineRule="exact"/>
              <w:ind w:leftChars="0"/>
              <w:jc w:val="center"/>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100</w:t>
            </w:r>
          </w:p>
        </w:tc>
      </w:tr>
    </w:tbl>
    <w:p w14:paraId="0FC2879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方正黑体简体" w:hAnsi="方正黑体简体" w:eastAsia="方正黑体简体" w:cs="方正黑体简体"/>
          <w:color w:val="000000" w:themeColor="text1"/>
          <w:sz w:val="24"/>
          <w:szCs w:val="24"/>
          <w:lang w:eastAsia="zh-CN"/>
          <w14:textFill>
            <w14:solidFill>
              <w14:schemeClr w14:val="tx1"/>
            </w14:solidFill>
          </w14:textFill>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panose1 w:val="02000000000000000000"/>
    <w:charset w:val="86"/>
    <w:family w:val="auto"/>
    <w:pitch w:val="default"/>
    <w:sig w:usb0="A00002BF" w:usb1="184F6CFA" w:usb2="00000012" w:usb3="00000000" w:csb0="00040001" w:csb1="00000000"/>
    <w:embedRegular r:id="rId1" w:fontKey="{F38FAA6A-CB06-4070-BEA0-023B69AE0A85}"/>
  </w:font>
  <w:font w:name="方正仿宋_GB18030">
    <w:panose1 w:val="02000000000000000000"/>
    <w:charset w:val="86"/>
    <w:family w:val="auto"/>
    <w:pitch w:val="default"/>
    <w:sig w:usb0="00000001" w:usb1="08000000" w:usb2="00000000" w:usb3="00000000" w:csb0="00040000" w:csb1="00000000"/>
    <w:embedRegular r:id="rId2" w:fontKey="{B4D0CBA7-92E7-4741-B471-2A852531BF8C}"/>
  </w:font>
  <w:font w:name="Segoe UI">
    <w:panose1 w:val="020B0502040204020203"/>
    <w:charset w:val="00"/>
    <w:family w:val="swiss"/>
    <w:pitch w:val="default"/>
    <w:sig w:usb0="E4002EFF" w:usb1="C000E47F" w:usb2="00000009" w:usb3="00000000" w:csb0="200001FF" w:csb1="00000000"/>
    <w:embedRegular r:id="rId3" w:fontKey="{CBBBB24E-F5B7-4FCF-B9D7-C0F53C28FCAF}"/>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C1B5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D1871">
                          <w:pPr>
                            <w:pStyle w:val="4"/>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7D1871">
                    <w:pPr>
                      <w:pStyle w:val="4"/>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7099F"/>
    <w:multiLevelType w:val="singleLevel"/>
    <w:tmpl w:val="0837099F"/>
    <w:lvl w:ilvl="0" w:tentative="0">
      <w:start w:val="2"/>
      <w:numFmt w:val="chineseCounting"/>
      <w:suff w:val="nothing"/>
      <w:lvlText w:val="%1、"/>
      <w:lvlJc w:val="left"/>
      <w:rPr>
        <w:rFonts w:hint="eastAsia"/>
      </w:rPr>
    </w:lvl>
  </w:abstractNum>
  <w:abstractNum w:abstractNumId="1">
    <w:nsid w:val="308E5CD1"/>
    <w:multiLevelType w:val="singleLevel"/>
    <w:tmpl w:val="308E5CD1"/>
    <w:lvl w:ilvl="0" w:tentative="0">
      <w:start w:val="1"/>
      <w:numFmt w:val="decimal"/>
      <w:suff w:val="nothing"/>
      <w:lvlText w:val="%1．"/>
      <w:lvlJc w:val="left"/>
      <w:pPr>
        <w:ind w:left="-10" w:firstLine="400"/>
      </w:pPr>
      <w:rPr>
        <w:rFonts w:hint="default"/>
      </w:rPr>
    </w:lvl>
  </w:abstractNum>
  <w:abstractNum w:abstractNumId="2">
    <w:nsid w:val="3AD1351B"/>
    <w:multiLevelType w:val="singleLevel"/>
    <w:tmpl w:val="3AD1351B"/>
    <w:lvl w:ilvl="0" w:tentative="0">
      <w:start w:val="1"/>
      <w:numFmt w:val="decimal"/>
      <w:suff w:val="nothing"/>
      <w:lvlText w:val="%1．"/>
      <w:lvlJc w:val="left"/>
      <w:pPr>
        <w:ind w:left="0" w:firstLine="400"/>
      </w:pPr>
      <w:rPr>
        <w:rFonts w:hint="default"/>
      </w:rPr>
    </w:lvl>
  </w:abstractNum>
  <w:abstractNum w:abstractNumId="3">
    <w:nsid w:val="41B6DF8D"/>
    <w:multiLevelType w:val="singleLevel"/>
    <w:tmpl w:val="41B6DF8D"/>
    <w:lvl w:ilvl="0" w:tentative="0">
      <w:start w:val="1"/>
      <w:numFmt w:val="decimal"/>
      <w:suff w:val="nothing"/>
      <w:lvlText w:val="%1．"/>
      <w:lvlJc w:val="left"/>
      <w:pPr>
        <w:ind w:left="-11" w:firstLine="400"/>
      </w:pPr>
      <w:rPr>
        <w:rFonts w:hint="default"/>
        <w:sz w:val="32"/>
        <w:szCs w:val="32"/>
      </w:rPr>
    </w:lvl>
  </w:abstractNum>
  <w:abstractNum w:abstractNumId="4">
    <w:nsid w:val="452AD14C"/>
    <w:multiLevelType w:val="singleLevel"/>
    <w:tmpl w:val="452AD14C"/>
    <w:lvl w:ilvl="0" w:tentative="0">
      <w:start w:val="1"/>
      <w:numFmt w:val="decimal"/>
      <w:suff w:val="nothing"/>
      <w:lvlText w:val="%1．"/>
      <w:lvlJc w:val="left"/>
      <w:pPr>
        <w:ind w:left="0" w:firstLine="400"/>
      </w:pPr>
      <w:rPr>
        <w:rFonts w:hint="default"/>
      </w:rPr>
    </w:lvl>
  </w:abstractNum>
  <w:abstractNum w:abstractNumId="5">
    <w:nsid w:val="47262DE8"/>
    <w:multiLevelType w:val="singleLevel"/>
    <w:tmpl w:val="47262DE8"/>
    <w:lvl w:ilvl="0" w:tentative="0">
      <w:start w:val="1"/>
      <w:numFmt w:val="decimal"/>
      <w:suff w:val="nothing"/>
      <w:lvlText w:val="%1．"/>
      <w:lvlJc w:val="left"/>
      <w:pPr>
        <w:ind w:left="-11" w:firstLine="400"/>
      </w:pPr>
      <w:rPr>
        <w:rFonts w:hint="default"/>
        <w:sz w:val="32"/>
        <w:szCs w:val="32"/>
      </w:rPr>
    </w:lvl>
  </w:abstractNum>
  <w:abstractNum w:abstractNumId="6">
    <w:nsid w:val="4CA3B6FC"/>
    <w:multiLevelType w:val="singleLevel"/>
    <w:tmpl w:val="4CA3B6FC"/>
    <w:lvl w:ilvl="0" w:tentative="0">
      <w:start w:val="2"/>
      <w:numFmt w:val="chineseCounting"/>
      <w:suff w:val="nothing"/>
      <w:lvlText w:val="（%1）"/>
      <w:lvlJc w:val="left"/>
      <w:rPr>
        <w:rFonts w:hint="eastAsia"/>
      </w:rPr>
    </w:lvl>
  </w:abstractNum>
  <w:abstractNum w:abstractNumId="7">
    <w:nsid w:val="6EF3DB5C"/>
    <w:multiLevelType w:val="singleLevel"/>
    <w:tmpl w:val="6EF3DB5C"/>
    <w:lvl w:ilvl="0" w:tentative="0">
      <w:start w:val="1"/>
      <w:numFmt w:val="decimal"/>
      <w:suff w:val="nothing"/>
      <w:lvlText w:val="%1．"/>
      <w:lvlJc w:val="left"/>
      <w:pPr>
        <w:ind w:left="410" w:firstLine="400"/>
      </w:pPr>
      <w:rPr>
        <w:rFonts w:hint="default"/>
      </w:rPr>
    </w:lvl>
  </w:abstractNum>
  <w:num w:numId="1">
    <w:abstractNumId w:val="0"/>
  </w:num>
  <w:num w:numId="2">
    <w:abstractNumId w:val="4"/>
  </w:num>
  <w:num w:numId="3">
    <w:abstractNumId w:val="5"/>
  </w:num>
  <w:num w:numId="4">
    <w:abstractNumId w:val="6"/>
  </w:num>
  <w:num w:numId="5">
    <w:abstractNumId w:val="1"/>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7365"/>
    <w:rsid w:val="005A0FB6"/>
    <w:rsid w:val="00DA0C05"/>
    <w:rsid w:val="00E04736"/>
    <w:rsid w:val="01453A14"/>
    <w:rsid w:val="01642CA0"/>
    <w:rsid w:val="016814B1"/>
    <w:rsid w:val="01C0757A"/>
    <w:rsid w:val="025A0C2A"/>
    <w:rsid w:val="02DE01D2"/>
    <w:rsid w:val="02E1392C"/>
    <w:rsid w:val="035A462E"/>
    <w:rsid w:val="03790C92"/>
    <w:rsid w:val="03922815"/>
    <w:rsid w:val="03FD13E7"/>
    <w:rsid w:val="052243CA"/>
    <w:rsid w:val="05801375"/>
    <w:rsid w:val="05A31875"/>
    <w:rsid w:val="05C57759"/>
    <w:rsid w:val="05E01F5E"/>
    <w:rsid w:val="067C08BE"/>
    <w:rsid w:val="069F7723"/>
    <w:rsid w:val="06A718BE"/>
    <w:rsid w:val="06F1126C"/>
    <w:rsid w:val="074A096B"/>
    <w:rsid w:val="076B1CFB"/>
    <w:rsid w:val="07AD5E6F"/>
    <w:rsid w:val="07CB4548"/>
    <w:rsid w:val="07CD206E"/>
    <w:rsid w:val="08474F38"/>
    <w:rsid w:val="084A7CC5"/>
    <w:rsid w:val="084F10CC"/>
    <w:rsid w:val="08D8020D"/>
    <w:rsid w:val="094832BF"/>
    <w:rsid w:val="09BC77C2"/>
    <w:rsid w:val="0A565EBB"/>
    <w:rsid w:val="0A781A4B"/>
    <w:rsid w:val="0B102D36"/>
    <w:rsid w:val="0B424B21"/>
    <w:rsid w:val="0B70180F"/>
    <w:rsid w:val="0BDE2A9B"/>
    <w:rsid w:val="0C001AE5"/>
    <w:rsid w:val="0C197F38"/>
    <w:rsid w:val="0C353B3C"/>
    <w:rsid w:val="0C3C77C2"/>
    <w:rsid w:val="0C6D272C"/>
    <w:rsid w:val="0D17530C"/>
    <w:rsid w:val="0D38005A"/>
    <w:rsid w:val="0D951B1C"/>
    <w:rsid w:val="0D9559BB"/>
    <w:rsid w:val="0DE6032D"/>
    <w:rsid w:val="0DF3310D"/>
    <w:rsid w:val="0E0662D9"/>
    <w:rsid w:val="0E1D7DE9"/>
    <w:rsid w:val="0E813BB2"/>
    <w:rsid w:val="0EDE7DD2"/>
    <w:rsid w:val="0F5B3599"/>
    <w:rsid w:val="0F78156E"/>
    <w:rsid w:val="0FAF6655"/>
    <w:rsid w:val="1030763E"/>
    <w:rsid w:val="103D3B8A"/>
    <w:rsid w:val="10A8029B"/>
    <w:rsid w:val="112D7B38"/>
    <w:rsid w:val="11523EC0"/>
    <w:rsid w:val="11592BC4"/>
    <w:rsid w:val="11625F1D"/>
    <w:rsid w:val="11BF4C1A"/>
    <w:rsid w:val="11F43809"/>
    <w:rsid w:val="12F55659"/>
    <w:rsid w:val="12F85B08"/>
    <w:rsid w:val="136C30EC"/>
    <w:rsid w:val="13D15CA6"/>
    <w:rsid w:val="145A2EDB"/>
    <w:rsid w:val="14956FA0"/>
    <w:rsid w:val="155B375E"/>
    <w:rsid w:val="15674B2D"/>
    <w:rsid w:val="157A227C"/>
    <w:rsid w:val="15822FD6"/>
    <w:rsid w:val="16023854"/>
    <w:rsid w:val="161C41BF"/>
    <w:rsid w:val="162E54B7"/>
    <w:rsid w:val="16F44EF6"/>
    <w:rsid w:val="17084E70"/>
    <w:rsid w:val="171F11FF"/>
    <w:rsid w:val="17C779EB"/>
    <w:rsid w:val="18132682"/>
    <w:rsid w:val="187F0568"/>
    <w:rsid w:val="189C459B"/>
    <w:rsid w:val="18AD35BB"/>
    <w:rsid w:val="18B3705E"/>
    <w:rsid w:val="199E43D4"/>
    <w:rsid w:val="19E00E0A"/>
    <w:rsid w:val="1A3F6DFB"/>
    <w:rsid w:val="1AC62691"/>
    <w:rsid w:val="1B370A71"/>
    <w:rsid w:val="1C675450"/>
    <w:rsid w:val="1C9A5D0A"/>
    <w:rsid w:val="1CC35D33"/>
    <w:rsid w:val="1CD9550A"/>
    <w:rsid w:val="1CFF38D5"/>
    <w:rsid w:val="1D511357"/>
    <w:rsid w:val="1D8762A5"/>
    <w:rsid w:val="1D946357"/>
    <w:rsid w:val="1E1743E1"/>
    <w:rsid w:val="1EAF2075"/>
    <w:rsid w:val="1F270BC3"/>
    <w:rsid w:val="1F306598"/>
    <w:rsid w:val="20010512"/>
    <w:rsid w:val="20206F2C"/>
    <w:rsid w:val="205A5102"/>
    <w:rsid w:val="208D5A0C"/>
    <w:rsid w:val="2157251C"/>
    <w:rsid w:val="21B502A2"/>
    <w:rsid w:val="21D70B44"/>
    <w:rsid w:val="21D7304E"/>
    <w:rsid w:val="21EB5ABA"/>
    <w:rsid w:val="21FB5E26"/>
    <w:rsid w:val="2222329B"/>
    <w:rsid w:val="226373E8"/>
    <w:rsid w:val="229927B8"/>
    <w:rsid w:val="237A705C"/>
    <w:rsid w:val="237E50F6"/>
    <w:rsid w:val="23817996"/>
    <w:rsid w:val="247826DC"/>
    <w:rsid w:val="24BC20D2"/>
    <w:rsid w:val="24E60F38"/>
    <w:rsid w:val="24FC4B4D"/>
    <w:rsid w:val="25137D22"/>
    <w:rsid w:val="25B5132C"/>
    <w:rsid w:val="262670C1"/>
    <w:rsid w:val="264412E4"/>
    <w:rsid w:val="268169ED"/>
    <w:rsid w:val="26A339E2"/>
    <w:rsid w:val="26E87CB7"/>
    <w:rsid w:val="270C5C92"/>
    <w:rsid w:val="271250A0"/>
    <w:rsid w:val="27677991"/>
    <w:rsid w:val="277C4D4F"/>
    <w:rsid w:val="27A07FAA"/>
    <w:rsid w:val="27B37D2F"/>
    <w:rsid w:val="282E04AF"/>
    <w:rsid w:val="283C7070"/>
    <w:rsid w:val="28987354"/>
    <w:rsid w:val="28DC0716"/>
    <w:rsid w:val="296808BF"/>
    <w:rsid w:val="29764FC6"/>
    <w:rsid w:val="298E7457"/>
    <w:rsid w:val="29C14A18"/>
    <w:rsid w:val="29C4590E"/>
    <w:rsid w:val="2A19004A"/>
    <w:rsid w:val="2A3C165B"/>
    <w:rsid w:val="2AA45B58"/>
    <w:rsid w:val="2B3E4D99"/>
    <w:rsid w:val="2BB97BB9"/>
    <w:rsid w:val="2BD34277"/>
    <w:rsid w:val="2BE60862"/>
    <w:rsid w:val="2C0A07B3"/>
    <w:rsid w:val="2C287156"/>
    <w:rsid w:val="2C674062"/>
    <w:rsid w:val="2C9C44AB"/>
    <w:rsid w:val="2D434AE8"/>
    <w:rsid w:val="2D675BF5"/>
    <w:rsid w:val="2E800205"/>
    <w:rsid w:val="2E922BF6"/>
    <w:rsid w:val="2EBA2A9C"/>
    <w:rsid w:val="2ECB694D"/>
    <w:rsid w:val="2EE850DF"/>
    <w:rsid w:val="2EF84EED"/>
    <w:rsid w:val="2F4A3E20"/>
    <w:rsid w:val="2F4C37B1"/>
    <w:rsid w:val="2F631386"/>
    <w:rsid w:val="2F996768"/>
    <w:rsid w:val="30457C94"/>
    <w:rsid w:val="30EE2F36"/>
    <w:rsid w:val="3138414C"/>
    <w:rsid w:val="31527325"/>
    <w:rsid w:val="31EC4F23"/>
    <w:rsid w:val="32D800A8"/>
    <w:rsid w:val="33627A71"/>
    <w:rsid w:val="336B1FDC"/>
    <w:rsid w:val="33775752"/>
    <w:rsid w:val="33C03336"/>
    <w:rsid w:val="33F30192"/>
    <w:rsid w:val="34393B91"/>
    <w:rsid w:val="343F51CD"/>
    <w:rsid w:val="34A60E91"/>
    <w:rsid w:val="34A90DD0"/>
    <w:rsid w:val="34D83928"/>
    <w:rsid w:val="367E0853"/>
    <w:rsid w:val="36E23B0E"/>
    <w:rsid w:val="3784689B"/>
    <w:rsid w:val="37891CF3"/>
    <w:rsid w:val="379D2F5B"/>
    <w:rsid w:val="37A3231C"/>
    <w:rsid w:val="37A47B9C"/>
    <w:rsid w:val="37A91900"/>
    <w:rsid w:val="3811253E"/>
    <w:rsid w:val="38F848ED"/>
    <w:rsid w:val="398D2502"/>
    <w:rsid w:val="39901104"/>
    <w:rsid w:val="39C600D4"/>
    <w:rsid w:val="3A820070"/>
    <w:rsid w:val="3A943B9A"/>
    <w:rsid w:val="3A963059"/>
    <w:rsid w:val="3AB74334"/>
    <w:rsid w:val="3AFD7ED6"/>
    <w:rsid w:val="3B07473C"/>
    <w:rsid w:val="3BA6656A"/>
    <w:rsid w:val="3BCC13E4"/>
    <w:rsid w:val="3BE06C7B"/>
    <w:rsid w:val="3C0C50CE"/>
    <w:rsid w:val="3C967F46"/>
    <w:rsid w:val="3CC52D38"/>
    <w:rsid w:val="3CCA69BF"/>
    <w:rsid w:val="3D1A663B"/>
    <w:rsid w:val="3D1B7243"/>
    <w:rsid w:val="3D346110"/>
    <w:rsid w:val="3DC15C0A"/>
    <w:rsid w:val="3E006E82"/>
    <w:rsid w:val="3E20491A"/>
    <w:rsid w:val="3E2919ED"/>
    <w:rsid w:val="3E941710"/>
    <w:rsid w:val="3F0256E2"/>
    <w:rsid w:val="3F5F6998"/>
    <w:rsid w:val="3F931868"/>
    <w:rsid w:val="3F9F75C2"/>
    <w:rsid w:val="400022D9"/>
    <w:rsid w:val="404C49F9"/>
    <w:rsid w:val="407222E7"/>
    <w:rsid w:val="407B70A2"/>
    <w:rsid w:val="40F01F14"/>
    <w:rsid w:val="410230D6"/>
    <w:rsid w:val="410F7A42"/>
    <w:rsid w:val="414659A6"/>
    <w:rsid w:val="416E7B59"/>
    <w:rsid w:val="41860845"/>
    <w:rsid w:val="42863F2A"/>
    <w:rsid w:val="42E5019B"/>
    <w:rsid w:val="43976233"/>
    <w:rsid w:val="43DD12AF"/>
    <w:rsid w:val="43E64CC4"/>
    <w:rsid w:val="44505DBC"/>
    <w:rsid w:val="449840F2"/>
    <w:rsid w:val="44FE6C01"/>
    <w:rsid w:val="45410D94"/>
    <w:rsid w:val="45682367"/>
    <w:rsid w:val="45A4353B"/>
    <w:rsid w:val="45F21BED"/>
    <w:rsid w:val="45FA63A3"/>
    <w:rsid w:val="45FC53B2"/>
    <w:rsid w:val="467F6EB5"/>
    <w:rsid w:val="46C73B51"/>
    <w:rsid w:val="46D544C0"/>
    <w:rsid w:val="4894224D"/>
    <w:rsid w:val="48C742DC"/>
    <w:rsid w:val="490225F6"/>
    <w:rsid w:val="493F5CF6"/>
    <w:rsid w:val="49B52A15"/>
    <w:rsid w:val="49D32F1D"/>
    <w:rsid w:val="4A117C6D"/>
    <w:rsid w:val="4A396306"/>
    <w:rsid w:val="4A8C38BA"/>
    <w:rsid w:val="4AC00FE3"/>
    <w:rsid w:val="4AC20854"/>
    <w:rsid w:val="4AC76857"/>
    <w:rsid w:val="4ADC7021"/>
    <w:rsid w:val="4B0626CA"/>
    <w:rsid w:val="4B1767A3"/>
    <w:rsid w:val="4C815DF7"/>
    <w:rsid w:val="4D441F51"/>
    <w:rsid w:val="4D95404A"/>
    <w:rsid w:val="4E035C2A"/>
    <w:rsid w:val="4E066B78"/>
    <w:rsid w:val="4E066F87"/>
    <w:rsid w:val="4E0E5DC8"/>
    <w:rsid w:val="4E23478D"/>
    <w:rsid w:val="4EDD03B5"/>
    <w:rsid w:val="4F443F90"/>
    <w:rsid w:val="4FA0188B"/>
    <w:rsid w:val="4FCD667C"/>
    <w:rsid w:val="502D3AC1"/>
    <w:rsid w:val="5043249A"/>
    <w:rsid w:val="506E4F0C"/>
    <w:rsid w:val="50D731A5"/>
    <w:rsid w:val="51133C75"/>
    <w:rsid w:val="513B66E7"/>
    <w:rsid w:val="51510BE7"/>
    <w:rsid w:val="51D05FAF"/>
    <w:rsid w:val="52025C88"/>
    <w:rsid w:val="5244074B"/>
    <w:rsid w:val="5256188E"/>
    <w:rsid w:val="52892F0F"/>
    <w:rsid w:val="531719BC"/>
    <w:rsid w:val="5357355A"/>
    <w:rsid w:val="53B316E5"/>
    <w:rsid w:val="53C841D4"/>
    <w:rsid w:val="53F90E87"/>
    <w:rsid w:val="541C1980"/>
    <w:rsid w:val="541C5172"/>
    <w:rsid w:val="543F0465"/>
    <w:rsid w:val="548A0158"/>
    <w:rsid w:val="54963752"/>
    <w:rsid w:val="5516017D"/>
    <w:rsid w:val="55202DAA"/>
    <w:rsid w:val="55415E2B"/>
    <w:rsid w:val="559D2126"/>
    <w:rsid w:val="560860C7"/>
    <w:rsid w:val="562C577E"/>
    <w:rsid w:val="5655545A"/>
    <w:rsid w:val="566273F2"/>
    <w:rsid w:val="56876E58"/>
    <w:rsid w:val="56891E51"/>
    <w:rsid w:val="57F80900"/>
    <w:rsid w:val="58682AA5"/>
    <w:rsid w:val="586A764B"/>
    <w:rsid w:val="588B0EAE"/>
    <w:rsid w:val="58A30477"/>
    <w:rsid w:val="59061813"/>
    <w:rsid w:val="593729F5"/>
    <w:rsid w:val="595B0797"/>
    <w:rsid w:val="59C2369B"/>
    <w:rsid w:val="59D2488F"/>
    <w:rsid w:val="59DA2268"/>
    <w:rsid w:val="59E1247D"/>
    <w:rsid w:val="5A821E11"/>
    <w:rsid w:val="5ACE4048"/>
    <w:rsid w:val="5AD611F1"/>
    <w:rsid w:val="5B0E0D1A"/>
    <w:rsid w:val="5B317840"/>
    <w:rsid w:val="5C1B5F8F"/>
    <w:rsid w:val="5D26561D"/>
    <w:rsid w:val="5DEA2E90"/>
    <w:rsid w:val="5E0D40E7"/>
    <w:rsid w:val="5E500226"/>
    <w:rsid w:val="5F1E507B"/>
    <w:rsid w:val="5FEA36B8"/>
    <w:rsid w:val="5FEF54B7"/>
    <w:rsid w:val="600F4147"/>
    <w:rsid w:val="604C539B"/>
    <w:rsid w:val="60634492"/>
    <w:rsid w:val="606479E2"/>
    <w:rsid w:val="60936099"/>
    <w:rsid w:val="609D0195"/>
    <w:rsid w:val="60CA7E7B"/>
    <w:rsid w:val="61113EEE"/>
    <w:rsid w:val="613C71BD"/>
    <w:rsid w:val="617C1CB0"/>
    <w:rsid w:val="61E26A75"/>
    <w:rsid w:val="620D35F2"/>
    <w:rsid w:val="621E2F47"/>
    <w:rsid w:val="62296F04"/>
    <w:rsid w:val="625754CE"/>
    <w:rsid w:val="627A5697"/>
    <w:rsid w:val="627C1693"/>
    <w:rsid w:val="62914235"/>
    <w:rsid w:val="63010E9B"/>
    <w:rsid w:val="63041F5D"/>
    <w:rsid w:val="6304515D"/>
    <w:rsid w:val="63BB37B8"/>
    <w:rsid w:val="64980840"/>
    <w:rsid w:val="64A324DE"/>
    <w:rsid w:val="656814C9"/>
    <w:rsid w:val="65EC2D98"/>
    <w:rsid w:val="66091638"/>
    <w:rsid w:val="67B20960"/>
    <w:rsid w:val="67B41DBE"/>
    <w:rsid w:val="67DF3E38"/>
    <w:rsid w:val="684772FA"/>
    <w:rsid w:val="68C05C4D"/>
    <w:rsid w:val="69173168"/>
    <w:rsid w:val="695257CA"/>
    <w:rsid w:val="6A022F6E"/>
    <w:rsid w:val="6A0D7608"/>
    <w:rsid w:val="6A5D713D"/>
    <w:rsid w:val="6A8D1BDF"/>
    <w:rsid w:val="6A966F07"/>
    <w:rsid w:val="6AA17CB4"/>
    <w:rsid w:val="6B1D005F"/>
    <w:rsid w:val="6B2F38EF"/>
    <w:rsid w:val="6B3E1E6E"/>
    <w:rsid w:val="6B4A585C"/>
    <w:rsid w:val="6B6A5A71"/>
    <w:rsid w:val="6C6B0957"/>
    <w:rsid w:val="6C797A56"/>
    <w:rsid w:val="6CDE0590"/>
    <w:rsid w:val="6D2A3FA6"/>
    <w:rsid w:val="6D514499"/>
    <w:rsid w:val="6D716441"/>
    <w:rsid w:val="6DBE103B"/>
    <w:rsid w:val="6DEC108C"/>
    <w:rsid w:val="6E2F2141"/>
    <w:rsid w:val="6E3851B0"/>
    <w:rsid w:val="6E9E14B7"/>
    <w:rsid w:val="6ECB2E35"/>
    <w:rsid w:val="6ED81537"/>
    <w:rsid w:val="6F106937"/>
    <w:rsid w:val="6F831FCC"/>
    <w:rsid w:val="6FC1375B"/>
    <w:rsid w:val="6FDB4A65"/>
    <w:rsid w:val="70076B5A"/>
    <w:rsid w:val="70473489"/>
    <w:rsid w:val="70A4218E"/>
    <w:rsid w:val="70C80B8C"/>
    <w:rsid w:val="70D121F9"/>
    <w:rsid w:val="71306040"/>
    <w:rsid w:val="71776E65"/>
    <w:rsid w:val="71A64935"/>
    <w:rsid w:val="71EB3D08"/>
    <w:rsid w:val="721D7C8C"/>
    <w:rsid w:val="72617FB0"/>
    <w:rsid w:val="7279799B"/>
    <w:rsid w:val="72964253"/>
    <w:rsid w:val="72A77F8F"/>
    <w:rsid w:val="72CE0E3F"/>
    <w:rsid w:val="7315764B"/>
    <w:rsid w:val="73747E01"/>
    <w:rsid w:val="73DA76E5"/>
    <w:rsid w:val="74F9675E"/>
    <w:rsid w:val="752F7595"/>
    <w:rsid w:val="75671ED7"/>
    <w:rsid w:val="7586707C"/>
    <w:rsid w:val="758C6E2D"/>
    <w:rsid w:val="76086DBD"/>
    <w:rsid w:val="762B64F1"/>
    <w:rsid w:val="762C6C98"/>
    <w:rsid w:val="76ED38A9"/>
    <w:rsid w:val="775748F9"/>
    <w:rsid w:val="77C77FC0"/>
    <w:rsid w:val="77DA2E34"/>
    <w:rsid w:val="78380346"/>
    <w:rsid w:val="78596579"/>
    <w:rsid w:val="78C3185B"/>
    <w:rsid w:val="78D90DFD"/>
    <w:rsid w:val="795B4444"/>
    <w:rsid w:val="79766B8D"/>
    <w:rsid w:val="79B06D0E"/>
    <w:rsid w:val="7A4D5B40"/>
    <w:rsid w:val="7A666C01"/>
    <w:rsid w:val="7A903C7E"/>
    <w:rsid w:val="7ABA3CBE"/>
    <w:rsid w:val="7B2054D0"/>
    <w:rsid w:val="7C1F24C4"/>
    <w:rsid w:val="7C266FA0"/>
    <w:rsid w:val="7C320EDF"/>
    <w:rsid w:val="7C675328"/>
    <w:rsid w:val="7D5E64B3"/>
    <w:rsid w:val="7D9A355E"/>
    <w:rsid w:val="7E325778"/>
    <w:rsid w:val="7E6F29D7"/>
    <w:rsid w:val="7E9C2D01"/>
    <w:rsid w:val="7F0F7867"/>
    <w:rsid w:val="7F8042C1"/>
    <w:rsid w:val="7F967210"/>
    <w:rsid w:val="7FA81FA5"/>
    <w:rsid w:val="7FAC6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next w:val="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文本块1"/>
    <w:basedOn w:val="1"/>
    <w:qFormat/>
    <w:uiPriority w:val="0"/>
    <w:pPr>
      <w:spacing w:after="120"/>
      <w:ind w:left="1440" w:right="700"/>
    </w:p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 w:type="paragraph" w:customStyle="1" w:styleId="12">
    <w:name w:val="正文_3"/>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font21"/>
    <w:basedOn w:val="9"/>
    <w:qFormat/>
    <w:uiPriority w:val="0"/>
    <w:rPr>
      <w:rFonts w:hint="default" w:ascii="Calibri" w:hAnsi="Calibri" w:cs="Calibri"/>
      <w:color w:val="000000"/>
      <w:sz w:val="21"/>
      <w:szCs w:val="21"/>
      <w:u w:val="none"/>
    </w:rPr>
  </w:style>
  <w:style w:type="character" w:customStyle="1" w:styleId="14">
    <w:name w:val="font3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5425</Words>
  <Characters>5683</Characters>
  <Lines>0</Lines>
  <Paragraphs>0</Paragraphs>
  <TotalTime>31</TotalTime>
  <ScaleCrop>false</ScaleCrop>
  <LinksUpToDate>false</LinksUpToDate>
  <CharactersWithSpaces>5711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2021-09-26T07:36:00Z</dcterms:created>
  <dc:creator>HP</dc:creator>
  <cp:lastModifiedBy>卜桐</cp:lastModifiedBy>
  <cp:lastPrinted>2025-12-17T09:29:00Z</cp:lastPrinted>
  <dcterms:modified xsi:type="dcterms:W3CDTF">2026-03-09T07:29:45Z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D3DDDF82A15C4E2497630BD661AFF5B9_13</vt:lpwstr>
  </property>
  <property fmtid="{D5CDD505-2E9C-101B-9397-08002B2CF9AE}" pid="4" name="KSOTemplateDocerSaveRecord">
    <vt:lpwstr>eyJoZGlkIjoiNzg5ZWYyNTA4N2NiMzUxMzJmMWI0YzA4MWQ2YmM3MzQiLCJ1c2VySWQiOiIxNjY0NDYxMjQ1In0=</vt:lpwstr>
  </property>
</Properties>
</file>