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center" w:pos="4476"/>
          <w:tab w:val="right" w:pos="8953"/>
        </w:tabs>
        <w:ind w:firstLine="0"/>
        <w:rPr>
          <w:rFonts w:eastAsia="黑体"/>
          <w:b/>
          <w:bCs/>
          <w:color w:val="auto"/>
          <w:sz w:val="84"/>
        </w:rPr>
      </w:pPr>
      <w:bookmarkStart w:id="0" w:name="_Toc455914596"/>
      <w:bookmarkStart w:id="1" w:name="_Toc115756014"/>
      <w:bookmarkStart w:id="2" w:name="_Toc142209795"/>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left="0" w:leftChars="0" w:firstLine="0" w:firstLineChars="0"/>
        <w:rPr>
          <w:rFonts w:eastAsia="黑体"/>
          <w:b/>
          <w:bCs/>
          <w:color w:val="auto"/>
          <w:sz w:val="84"/>
        </w:rPr>
      </w:pPr>
    </w:p>
    <w:p>
      <w:pPr>
        <w:pStyle w:val="80"/>
        <w:tabs>
          <w:tab w:val="center" w:pos="4476"/>
          <w:tab w:val="right" w:pos="8953"/>
        </w:tabs>
        <w:ind w:left="0" w:leftChars="0" w:firstLine="0" w:firstLineChars="0"/>
        <w:rPr>
          <w:rFonts w:eastAsia="黑体"/>
          <w:b/>
          <w:bCs/>
          <w:color w:val="auto"/>
          <w:sz w:val="84"/>
        </w:rPr>
      </w:pPr>
    </w:p>
    <w:p>
      <w:pPr>
        <w:pStyle w:val="80"/>
        <w:tabs>
          <w:tab w:val="center" w:pos="4476"/>
          <w:tab w:val="right" w:pos="8953"/>
        </w:tabs>
        <w:ind w:firstLine="641" w:firstLineChars="76"/>
        <w:jc w:val="center"/>
        <w:rPr>
          <w:rFonts w:eastAsia="黑体"/>
          <w:b/>
          <w:bCs/>
          <w:color w:val="auto"/>
          <w:sz w:val="84"/>
        </w:rPr>
      </w:pPr>
      <w:r>
        <w:rPr>
          <w:rFonts w:hint="eastAsia" w:eastAsia="黑体"/>
          <w:b/>
          <w:bCs/>
          <w:color w:val="auto"/>
          <w:sz w:val="84"/>
        </w:rPr>
        <w:t>招　标　文　件</w:t>
      </w:r>
    </w:p>
    <w:p>
      <w:pPr>
        <w:pStyle w:val="80"/>
        <w:ind w:firstLine="723" w:firstLineChars="200"/>
        <w:rPr>
          <w:rFonts w:ascii="宋体" w:hAnsi="宋体"/>
          <w:b/>
          <w:bCs/>
          <w:color w:val="auto"/>
          <w:sz w:val="36"/>
          <w:szCs w:val="36"/>
        </w:rPr>
      </w:pPr>
    </w:p>
    <w:p>
      <w:pPr>
        <w:pStyle w:val="80"/>
        <w:ind w:firstLine="723" w:firstLineChars="200"/>
        <w:rPr>
          <w:rFonts w:ascii="宋体" w:hAnsi="宋体"/>
          <w:b/>
          <w:bCs/>
          <w:color w:val="auto"/>
          <w:sz w:val="36"/>
          <w:szCs w:val="36"/>
        </w:rPr>
      </w:pPr>
    </w:p>
    <w:p>
      <w:pPr>
        <w:pStyle w:val="80"/>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ind w:left="630" w:leftChars="300" w:firstLine="723" w:firstLineChars="200"/>
        <w:jc w:val="left"/>
        <w:rPr>
          <w:rFonts w:ascii="宋体" w:hAnsi="宋体"/>
          <w:b/>
          <w:color w:val="auto"/>
          <w:sz w:val="36"/>
        </w:rPr>
      </w:pPr>
      <w:r>
        <w:rPr>
          <w:rFonts w:hint="eastAsia" w:ascii="宋体" w:hAnsi="宋体"/>
          <w:b/>
          <w:color w:val="auto"/>
          <w:sz w:val="36"/>
        </w:rPr>
        <w:t>项目名称：</w:t>
      </w:r>
      <w:r>
        <w:rPr>
          <w:rFonts w:hint="eastAsia" w:ascii="宋体" w:hAnsi="宋体"/>
          <w:b/>
          <w:color w:val="auto"/>
          <w:sz w:val="36"/>
          <w:u w:val="single"/>
        </w:rPr>
        <w:t xml:space="preserve"> </w:t>
      </w:r>
      <w:r>
        <w:rPr>
          <w:rFonts w:hint="eastAsia" w:ascii="宋体" w:hAnsi="宋体"/>
          <w:b/>
          <w:color w:val="auto"/>
          <w:sz w:val="36"/>
          <w:u w:val="single"/>
          <w:lang w:val="en-US" w:eastAsia="zh-CN"/>
        </w:rPr>
        <w:t xml:space="preserve">  保卫处</w:t>
      </w:r>
      <w:r>
        <w:rPr>
          <w:rFonts w:hint="eastAsia" w:ascii="宋体" w:hAnsi="宋体"/>
          <w:b/>
          <w:color w:val="auto"/>
          <w:sz w:val="36"/>
          <w:u w:val="single"/>
        </w:rPr>
        <w:t>灭火器维修换药</w:t>
      </w:r>
      <w:r>
        <w:rPr>
          <w:rFonts w:hint="eastAsia" w:ascii="宋体" w:hAnsi="宋体"/>
          <w:b/>
          <w:color w:val="auto"/>
          <w:sz w:val="36"/>
          <w:u w:val="single"/>
          <w:lang w:val="en-US" w:eastAsia="zh-CN"/>
        </w:rPr>
        <w:t xml:space="preserve">   </w:t>
      </w:r>
    </w:p>
    <w:p>
      <w:pPr>
        <w:spacing w:line="360" w:lineRule="auto"/>
        <w:ind w:left="630" w:leftChars="300" w:firstLine="723" w:firstLineChars="200"/>
        <w:jc w:val="left"/>
        <w:rPr>
          <w:rFonts w:hint="eastAsia" w:ascii="宋体" w:hAnsi="宋体" w:eastAsia="宋体"/>
          <w:color w:val="auto"/>
          <w:lang w:val="en-US" w:eastAsia="zh-CN"/>
        </w:rPr>
      </w:pPr>
      <w:r>
        <w:rPr>
          <w:rFonts w:hint="eastAsia" w:ascii="宋体" w:hAnsi="宋体"/>
          <w:b/>
          <w:color w:val="auto"/>
          <w:sz w:val="36"/>
        </w:rPr>
        <w:t>项目编号：</w:t>
      </w:r>
      <w:r>
        <w:rPr>
          <w:rFonts w:hint="eastAsia" w:ascii="宋体" w:hAnsi="宋体"/>
          <w:b/>
          <w:color w:val="auto"/>
          <w:sz w:val="36"/>
          <w:u w:val="single"/>
        </w:rPr>
        <w:t xml:space="preserve">    </w:t>
      </w:r>
      <w:r>
        <w:rPr>
          <w:rFonts w:hint="eastAsia" w:ascii="宋体" w:hAnsi="宋体"/>
          <w:b/>
          <w:color w:val="auto"/>
          <w:sz w:val="36"/>
          <w:u w:val="single"/>
          <w:lang w:val="en-US" w:eastAsia="zh-CN"/>
        </w:rPr>
        <w:t xml:space="preserve">   </w:t>
      </w:r>
      <w:r>
        <w:rPr>
          <w:rFonts w:ascii="宋体" w:hAnsi="宋体"/>
          <w:b/>
          <w:color w:val="auto"/>
          <w:sz w:val="36"/>
          <w:u w:val="single"/>
        </w:rPr>
        <w:t>2018-ZB-</w:t>
      </w:r>
      <w:r>
        <w:rPr>
          <w:rFonts w:hint="eastAsia" w:ascii="宋体" w:hAnsi="宋体"/>
          <w:b/>
          <w:color w:val="auto"/>
          <w:sz w:val="36"/>
          <w:u w:val="single"/>
        </w:rPr>
        <w:t>XC0</w:t>
      </w:r>
      <w:r>
        <w:rPr>
          <w:rFonts w:hint="eastAsia" w:ascii="宋体" w:hAnsi="宋体"/>
          <w:b/>
          <w:color w:val="auto"/>
          <w:sz w:val="36"/>
          <w:u w:val="single"/>
          <w:lang w:val="en-US" w:eastAsia="zh-CN"/>
        </w:rPr>
        <w:t xml:space="preserve">71  </w:t>
      </w:r>
      <w:r>
        <w:rPr>
          <w:rFonts w:ascii="宋体" w:hAnsi="宋体"/>
          <w:b/>
          <w:color w:val="auto"/>
          <w:sz w:val="36"/>
          <w:u w:val="single"/>
        </w:rPr>
        <w:t xml:space="preserve">  </w:t>
      </w:r>
      <w:r>
        <w:rPr>
          <w:rFonts w:hint="eastAsia" w:ascii="宋体" w:hAnsi="宋体"/>
          <w:b/>
          <w:color w:val="auto"/>
          <w:sz w:val="36"/>
          <w:u w:val="single"/>
          <w:lang w:val="en-US" w:eastAsia="zh-CN"/>
        </w:rPr>
        <w:t xml:space="preserve">  </w:t>
      </w: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ind w:firstLine="0"/>
        <w:jc w:val="center"/>
        <w:rPr>
          <w:b/>
          <w:bCs/>
          <w:color w:val="auto"/>
          <w:sz w:val="32"/>
        </w:rPr>
      </w:pPr>
      <w:r>
        <w:rPr>
          <w:rFonts w:hint="eastAsia"/>
          <w:b/>
          <w:bCs/>
          <w:color w:val="auto"/>
          <w:sz w:val="32"/>
        </w:rPr>
        <w:t>江苏开放大学</w:t>
      </w:r>
    </w:p>
    <w:p>
      <w:pPr>
        <w:pStyle w:val="5"/>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rPr>
        <w:t xml:space="preserve">  </w:t>
      </w:r>
      <w:r>
        <w:rPr>
          <w:rFonts w:ascii="Times New Roman" w:hAnsi="Times New Roman" w:eastAsia="楷体"/>
          <w:color w:val="auto"/>
          <w:sz w:val="44"/>
        </w:rPr>
        <w:t>投标邀请函</w:t>
      </w:r>
      <w:bookmarkEnd w:id="0"/>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rPr>
        <w:t xml:space="preserve"> </w:t>
      </w:r>
      <w:r>
        <w:rPr>
          <w:rFonts w:hint="eastAsia" w:ascii="Times New Roman" w:hAnsi="Times New Roman" w:cs="Times New Roman"/>
          <w:color w:val="auto"/>
          <w:sz w:val="21"/>
          <w:szCs w:val="21"/>
          <w:u w:val="single"/>
          <w:lang w:eastAsia="zh-CN"/>
        </w:rPr>
        <w:t>保卫处</w:t>
      </w:r>
      <w:r>
        <w:rPr>
          <w:rFonts w:hint="eastAsia" w:ascii="Times New Roman" w:hAnsi="Times New Roman" w:cs="Times New Roman"/>
          <w:color w:val="auto"/>
          <w:sz w:val="21"/>
          <w:szCs w:val="21"/>
          <w:u w:val="single"/>
        </w:rPr>
        <w:t xml:space="preserve">灭火器维修换药 </w:t>
      </w:r>
      <w:r>
        <w:rPr>
          <w:rFonts w:ascii="Times New Roman" w:hAnsi="Times New Roman" w:cs="Times New Roman"/>
          <w:color w:val="auto"/>
          <w:sz w:val="21"/>
          <w:szCs w:val="21"/>
        </w:rPr>
        <w:t>项目组织公开招标，欢迎符合资格条件的单位前来投标。</w:t>
      </w:r>
    </w:p>
    <w:p>
      <w:pPr>
        <w:pStyle w:val="5"/>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项目编号：2018-ZB-</w:t>
      </w:r>
      <w:r>
        <w:rPr>
          <w:rFonts w:hint="eastAsia" w:ascii="Times New Roman" w:hAnsi="Times New Roman" w:cs="Times New Roman"/>
          <w:color w:val="auto"/>
          <w:sz w:val="21"/>
          <w:szCs w:val="21"/>
        </w:rPr>
        <w:t>XC0</w:t>
      </w:r>
      <w:r>
        <w:rPr>
          <w:rFonts w:hint="eastAsia" w:ascii="Times New Roman" w:hAnsi="Times New Roman" w:cs="Times New Roman"/>
          <w:color w:val="auto"/>
          <w:sz w:val="21"/>
          <w:szCs w:val="21"/>
          <w:lang w:val="en-US" w:eastAsia="zh-CN"/>
        </w:rPr>
        <w:t>71</w:t>
      </w:r>
      <w:r>
        <w:rPr>
          <w:rFonts w:hint="eastAsia" w:ascii="Times New Roman" w:hAnsi="Times New Roman" w:cs="Times New Roman"/>
          <w:color w:val="auto"/>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lang w:eastAsia="zh-CN"/>
        </w:rPr>
        <w:t>保卫处</w:t>
      </w:r>
      <w:r>
        <w:rPr>
          <w:rFonts w:hint="eastAsia" w:ascii="Times New Roman" w:hAnsi="Times New Roman" w:cs="Times New Roman"/>
          <w:color w:val="auto"/>
          <w:sz w:val="21"/>
          <w:szCs w:val="21"/>
        </w:rPr>
        <w:t>灭火器维修换药。</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w:t>
      </w:r>
      <w:r>
        <w:rPr>
          <w:rFonts w:hint="eastAsia" w:ascii="Times New Roman" w:hAnsi="Times New Roman" w:cs="Times New Roman"/>
          <w:color w:val="auto"/>
          <w:sz w:val="21"/>
          <w:szCs w:val="21"/>
          <w:lang w:val="en-US" w:eastAsia="zh-CN"/>
        </w:rPr>
        <w:t>7</w:t>
      </w:r>
      <w:r>
        <w:rPr>
          <w:rFonts w:hint="eastAsia" w:ascii="Times New Roman" w:hAnsi="Times New Roman" w:cs="Times New Roman"/>
          <w:color w:val="auto"/>
          <w:sz w:val="21"/>
          <w:szCs w:val="21"/>
        </w:rPr>
        <w:t>万。</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免费质保期：</w:t>
      </w:r>
      <w:r>
        <w:rPr>
          <w:rFonts w:hint="eastAsia" w:ascii="Times New Roman" w:hAnsi="Times New Roman" w:cs="Times New Roman"/>
          <w:color w:val="auto"/>
          <w:sz w:val="21"/>
          <w:szCs w:val="21"/>
          <w:lang w:eastAsia="zh-CN"/>
        </w:rPr>
        <w:t>两年</w:t>
      </w:r>
      <w:r>
        <w:rPr>
          <w:rFonts w:hint="eastAsia" w:ascii="Times New Roman" w:hAnsi="Times New Roman" w:cs="Times New Roman"/>
          <w:color w:val="auto"/>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w:t>
      </w:r>
      <w:r>
        <w:rPr>
          <w:rFonts w:hint="eastAsia" w:ascii="Times New Roman" w:hAnsi="Times New Roman" w:cs="Times New Roman"/>
          <w:color w:val="auto"/>
          <w:sz w:val="21"/>
          <w:szCs w:val="21"/>
          <w:lang w:eastAsia="zh-CN"/>
        </w:rPr>
        <w:t>地点</w:t>
      </w:r>
      <w:r>
        <w:rPr>
          <w:rFonts w:hint="eastAsia" w:ascii="Times New Roman" w:hAnsi="Times New Roman" w:cs="Times New Roman"/>
          <w:color w:val="auto"/>
          <w:sz w:val="21"/>
          <w:szCs w:val="21"/>
        </w:rPr>
        <w:t>：</w:t>
      </w:r>
      <w:r>
        <w:rPr>
          <w:rFonts w:hint="eastAsia" w:ascii="Times New Roman" w:hAnsi="Times New Roman" w:cs="Times New Roman"/>
          <w:color w:val="auto"/>
          <w:sz w:val="21"/>
          <w:szCs w:val="21"/>
          <w:lang w:eastAsia="zh-CN"/>
        </w:rPr>
        <w:t>江苏开放大学本部大楼、</w:t>
      </w:r>
      <w:r>
        <w:rPr>
          <w:rFonts w:hint="eastAsia" w:ascii="Times New Roman" w:hAnsi="Times New Roman" w:cs="Times New Roman"/>
          <w:color w:val="auto"/>
          <w:sz w:val="21"/>
          <w:szCs w:val="21"/>
        </w:rPr>
        <w:t>应天校区</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rPr>
        <w:t>定淮门东校区。</w:t>
      </w:r>
    </w:p>
    <w:p>
      <w:pPr>
        <w:pStyle w:val="5"/>
        <w:rPr>
          <w:rFonts w:ascii="Times New Roman" w:hAnsi="Times New Roman"/>
          <w:color w:val="auto"/>
          <w:sz w:val="21"/>
          <w:szCs w:val="21"/>
        </w:rPr>
      </w:pPr>
      <w:bookmarkStart w:id="4" w:name="_Toc455914598"/>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rFonts w:hint="eastAsia"/>
          <w:color w:val="auto"/>
          <w:kern w:val="0"/>
          <w:szCs w:val="21"/>
        </w:rPr>
      </w:pPr>
      <w:r>
        <w:rPr>
          <w:rFonts w:hint="eastAsia"/>
          <w:color w:val="auto"/>
          <w:kern w:val="0"/>
          <w:szCs w:val="21"/>
        </w:rPr>
        <w:t>2、采购人根据采购项目的特殊要求规定的特定条件：</w:t>
      </w:r>
    </w:p>
    <w:p>
      <w:pPr>
        <w:spacing w:line="360" w:lineRule="auto"/>
        <w:ind w:firstLine="420" w:firstLineChars="200"/>
        <w:jc w:val="left"/>
        <w:rPr>
          <w:rFonts w:hint="eastAsia"/>
          <w:color w:val="auto"/>
          <w:kern w:val="0"/>
          <w:szCs w:val="21"/>
          <w:lang w:eastAsia="zh-CN"/>
        </w:rPr>
      </w:pPr>
      <w:r>
        <w:rPr>
          <w:rFonts w:hint="eastAsia"/>
          <w:color w:val="auto"/>
          <w:kern w:val="0"/>
          <w:szCs w:val="21"/>
          <w:lang w:eastAsia="zh-CN"/>
        </w:rPr>
        <w:t>（</w:t>
      </w:r>
      <w:r>
        <w:rPr>
          <w:rFonts w:hint="eastAsia"/>
          <w:color w:val="auto"/>
          <w:kern w:val="0"/>
          <w:szCs w:val="21"/>
          <w:lang w:val="en-US" w:eastAsia="zh-CN"/>
        </w:rPr>
        <w:t>1</w:t>
      </w:r>
      <w:r>
        <w:rPr>
          <w:rFonts w:hint="eastAsia"/>
          <w:color w:val="auto"/>
          <w:kern w:val="0"/>
          <w:szCs w:val="21"/>
          <w:lang w:eastAsia="zh-CN"/>
        </w:rPr>
        <w:t>）投标人应具有消防部门有关灭火器检查和维修换药的相关资质（提供证书复印件并加盖公章）。</w:t>
      </w:r>
    </w:p>
    <w:p>
      <w:pPr>
        <w:spacing w:line="360" w:lineRule="auto"/>
        <w:ind w:firstLine="420" w:firstLineChars="200"/>
        <w:jc w:val="left"/>
        <w:rPr>
          <w:rFonts w:hint="eastAsia"/>
          <w:color w:val="auto"/>
          <w:kern w:val="0"/>
          <w:szCs w:val="21"/>
          <w:lang w:eastAsia="zh-CN"/>
        </w:rPr>
      </w:pPr>
      <w:r>
        <w:rPr>
          <w:rFonts w:hint="eastAsia"/>
          <w:color w:val="auto"/>
          <w:kern w:val="0"/>
          <w:szCs w:val="21"/>
          <w:lang w:eastAsia="zh-CN"/>
        </w:rPr>
        <w:t>（</w:t>
      </w:r>
      <w:r>
        <w:rPr>
          <w:rFonts w:hint="eastAsia"/>
          <w:color w:val="auto"/>
          <w:kern w:val="0"/>
          <w:szCs w:val="21"/>
          <w:lang w:val="en-US" w:eastAsia="zh-CN"/>
        </w:rPr>
        <w:t>2</w:t>
      </w:r>
      <w:r>
        <w:rPr>
          <w:rFonts w:hint="eastAsia"/>
          <w:color w:val="auto"/>
          <w:kern w:val="0"/>
          <w:szCs w:val="21"/>
          <w:lang w:eastAsia="zh-CN"/>
        </w:rPr>
        <w:t>）投标人须为专业消防器材生产或经营企业（以营业执照为准）。</w:t>
      </w:r>
    </w:p>
    <w:p>
      <w:pPr>
        <w:spacing w:line="360" w:lineRule="auto"/>
        <w:ind w:firstLine="420" w:firstLineChars="200"/>
        <w:jc w:val="left"/>
        <w:rPr>
          <w:color w:val="auto"/>
          <w:kern w:val="0"/>
          <w:szCs w:val="21"/>
        </w:rPr>
      </w:pPr>
      <w:r>
        <w:rPr>
          <w:rFonts w:hint="eastAsia"/>
          <w:color w:val="auto"/>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color w:val="auto"/>
          <w:szCs w:val="21"/>
        </w:rPr>
      </w:pPr>
      <w:r>
        <w:rPr>
          <w:rFonts w:hint="eastAsia"/>
          <w:color w:val="auto"/>
          <w:kern w:val="0"/>
          <w:szCs w:val="21"/>
        </w:rPr>
        <w:t>4、本项目不接受联合体投标。</w:t>
      </w:r>
    </w:p>
    <w:bookmarkEnd w:id="5"/>
    <w:p>
      <w:pPr>
        <w:pStyle w:val="5"/>
        <w:rPr>
          <w:color w:val="auto"/>
          <w:sz w:val="24"/>
          <w:szCs w:val="24"/>
        </w:rPr>
      </w:pPr>
      <w:r>
        <w:rPr>
          <w:rFonts w:hint="eastAsia" w:ascii="Times New Roman" w:hAnsi="Times New Roman"/>
          <w:color w:val="auto"/>
          <w:sz w:val="21"/>
          <w:szCs w:val="21"/>
        </w:rPr>
        <w:t>1</w:t>
      </w:r>
      <w:r>
        <w:rPr>
          <w:rFonts w:ascii="Times New Roman" w:hAnsi="Times New Roman"/>
          <w:color w:val="auto"/>
          <w:sz w:val="21"/>
          <w:szCs w:val="21"/>
        </w:rPr>
        <w:t>.</w:t>
      </w:r>
      <w:r>
        <w:rPr>
          <w:rFonts w:hint="eastAsia" w:ascii="Times New Roman" w:hAnsi="Times New Roman"/>
          <w:color w:val="auto"/>
          <w:sz w:val="21"/>
          <w:szCs w:val="21"/>
        </w:rPr>
        <w:t>3投标报名</w:t>
      </w:r>
    </w:p>
    <w:p>
      <w:pPr>
        <w:spacing w:line="360" w:lineRule="auto"/>
        <w:ind w:firstLine="420" w:firstLineChars="200"/>
        <w:rPr>
          <w:color w:val="auto"/>
        </w:rPr>
      </w:pPr>
      <w:r>
        <w:rPr>
          <w:rFonts w:hint="eastAsia"/>
          <w:color w:val="auto"/>
        </w:rPr>
        <w:t>有意投标的投标人请在2018年</w:t>
      </w:r>
      <w:r>
        <w:rPr>
          <w:rFonts w:hint="eastAsia"/>
          <w:color w:val="auto"/>
          <w:lang w:val="en-US" w:eastAsia="zh-CN"/>
        </w:rPr>
        <w:t>12</w:t>
      </w:r>
      <w:r>
        <w:rPr>
          <w:rFonts w:hint="eastAsia"/>
          <w:color w:val="auto"/>
        </w:rPr>
        <w:t>月</w:t>
      </w:r>
      <w:r>
        <w:rPr>
          <w:rFonts w:hint="eastAsia"/>
          <w:color w:val="auto"/>
          <w:lang w:val="en-US" w:eastAsia="zh-CN"/>
        </w:rPr>
        <w:t>4</w:t>
      </w:r>
      <w:r>
        <w:rPr>
          <w:rFonts w:hint="eastAsia"/>
          <w:color w:val="auto"/>
        </w:rPr>
        <w:t>日下午1</w:t>
      </w:r>
      <w:r>
        <w:rPr>
          <w:rFonts w:hint="eastAsia"/>
          <w:color w:val="auto"/>
          <w:lang w:val="en-US" w:eastAsia="zh-CN"/>
        </w:rPr>
        <w:t>6</w:t>
      </w:r>
      <w:r>
        <w:rPr>
          <w:rFonts w:hint="eastAsia"/>
          <w:color w:val="auto"/>
        </w:rPr>
        <w:t>:00前发送单位名称、联系人、联系电话及项目编号和项目名称到2448775794@qq.com 邮箱中，并在邮件标题中注明“</w:t>
      </w:r>
      <w:r>
        <w:rPr>
          <w:rFonts w:hint="eastAsia"/>
          <w:color w:val="auto"/>
          <w:lang w:eastAsia="zh-CN"/>
        </w:rPr>
        <w:t>保卫处</w:t>
      </w:r>
      <w:r>
        <w:rPr>
          <w:rFonts w:hint="eastAsia"/>
          <w:color w:val="auto"/>
          <w:szCs w:val="21"/>
        </w:rPr>
        <w:t>灭火器维修换药</w:t>
      </w:r>
      <w:r>
        <w:rPr>
          <w:rFonts w:hint="eastAsia"/>
          <w:color w:val="auto"/>
        </w:rPr>
        <w:t>”。</w:t>
      </w:r>
    </w:p>
    <w:p>
      <w:pPr>
        <w:spacing w:line="360" w:lineRule="auto"/>
        <w:ind w:firstLine="422" w:firstLineChars="200"/>
        <w:rPr>
          <w:rFonts w:hint="eastAsia"/>
          <w:b/>
          <w:bCs/>
          <w:color w:val="auto"/>
        </w:rPr>
      </w:pPr>
      <w:r>
        <w:rPr>
          <w:rFonts w:hint="eastAsia"/>
          <w:b/>
          <w:bCs/>
          <w:color w:val="auto"/>
        </w:rPr>
        <w:t>凡未按要求报名者，学校不接受其投标。</w:t>
      </w:r>
    </w:p>
    <w:p>
      <w:pPr>
        <w:spacing w:line="360" w:lineRule="auto"/>
        <w:ind w:firstLine="422" w:firstLineChars="200"/>
        <w:rPr>
          <w:rFonts w:hint="eastAsia"/>
          <w:b/>
          <w:bCs/>
          <w:color w:val="auto"/>
        </w:rPr>
      </w:pPr>
    </w:p>
    <w:p>
      <w:pPr>
        <w:pStyle w:val="5"/>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lang w:val="en-US" w:eastAsia="zh-CN"/>
        </w:rPr>
        <w:t>4</w:t>
      </w:r>
      <w:r>
        <w:rPr>
          <w:rFonts w:ascii="Times New Roman" w:hAnsi="Times New Roman"/>
          <w:color w:val="auto"/>
          <w:sz w:val="21"/>
          <w:szCs w:val="21"/>
        </w:rPr>
        <w:t>招标文件获取</w:t>
      </w:r>
      <w:bookmarkEnd w:id="6"/>
    </w:p>
    <w:p>
      <w:pPr>
        <w:pStyle w:val="26"/>
        <w:spacing w:before="0" w:beforeAutospacing="0" w:after="0" w:afterAutospacing="0" w:line="360" w:lineRule="auto"/>
        <w:ind w:firstLine="482"/>
        <w:rPr>
          <w:color w:val="auto"/>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pStyle w:val="5"/>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lang w:val="en-US" w:eastAsia="zh-CN"/>
        </w:rPr>
        <w:t>5</w:t>
      </w:r>
      <w:r>
        <w:rPr>
          <w:rFonts w:ascii="Times New Roman" w:hAnsi="Times New Roman"/>
          <w:color w:val="auto"/>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12</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三</w:t>
      </w:r>
      <w:r>
        <w:rPr>
          <w:rFonts w:hint="eastAsia" w:ascii="Times New Roman" w:hAnsi="Times New Roman" w:cs="Times New Roman"/>
          <w:color w:val="auto"/>
          <w:sz w:val="21"/>
          <w:szCs w:val="21"/>
          <w:lang w:val="en-US" w:eastAsia="zh-CN"/>
        </w:rPr>
        <w:t xml:space="preserve"> </w:t>
      </w:r>
      <w:r>
        <w:rPr>
          <w:rFonts w:ascii="Times New Roman" w:hAnsi="Times New Roman" w:cs="Times New Roman"/>
          <w:color w:val="auto"/>
          <w:sz w:val="21"/>
          <w:szCs w:val="21"/>
        </w:rPr>
        <w:t>）</w:t>
      </w:r>
      <w:r>
        <w:rPr>
          <w:rFonts w:hint="eastAsia" w:ascii="Times New Roman" w:hAnsi="Times New Roman" w:cs="Times New Roman"/>
          <w:color w:val="auto"/>
          <w:sz w:val="21"/>
          <w:szCs w:val="21"/>
        </w:rPr>
        <w:t xml:space="preserve"> 下午14:30。</w:t>
      </w:r>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Times New Roman"/>
          <w:color w:val="auto"/>
          <w:sz w:val="21"/>
          <w:szCs w:val="21"/>
          <w:lang w:val="en-US" w:eastAsia="zh-CN"/>
        </w:rPr>
        <w:t>6</w:t>
      </w:r>
      <w:r>
        <w:rPr>
          <w:rFonts w:ascii="Times New Roman" w:hAnsi="Times New Roman"/>
          <w:color w:val="auto"/>
          <w:sz w:val="21"/>
          <w:szCs w:val="21"/>
        </w:rPr>
        <w:t>开标时间及地点</w:t>
      </w:r>
      <w:bookmarkEnd w:id="8"/>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12</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三</w:t>
      </w:r>
      <w:r>
        <w:rPr>
          <w:rFonts w:hint="eastAsia" w:ascii="Times New Roman" w:hAnsi="Times New Roman" w:cs="Times New Roman"/>
          <w:color w:val="auto"/>
          <w:sz w:val="21"/>
          <w:szCs w:val="21"/>
          <w:lang w:val="en-US" w:eastAsia="zh-CN"/>
        </w:rPr>
        <w:t xml:space="preserve"> </w:t>
      </w:r>
      <w:r>
        <w:rPr>
          <w:rFonts w:ascii="Times New Roman" w:hAnsi="Times New Roman" w:cs="Times New Roman"/>
          <w:color w:val="auto"/>
          <w:sz w:val="21"/>
          <w:szCs w:val="21"/>
        </w:rPr>
        <w:t>）</w:t>
      </w:r>
      <w:r>
        <w:rPr>
          <w:rFonts w:hint="eastAsia" w:ascii="Times New Roman" w:hAnsi="Times New Roman" w:cs="Times New Roman"/>
          <w:color w:val="auto"/>
          <w:sz w:val="21"/>
          <w:szCs w:val="21"/>
        </w:rPr>
        <w:t xml:space="preserve"> 下午14:30。</w:t>
      </w:r>
      <w:bookmarkStart w:id="43" w:name="_GoBack"/>
      <w:bookmarkEnd w:id="43"/>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lang w:val="en-US" w:eastAsia="zh-CN"/>
        </w:rPr>
        <w:t>7</w:t>
      </w:r>
      <w:r>
        <w:rPr>
          <w:rFonts w:ascii="Times New Roman" w:hAnsi="Times New Roman"/>
          <w:color w:val="auto"/>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lang w:val="en-US" w:eastAsia="zh-CN"/>
        </w:rPr>
        <w:t>8</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1、技术咨询：</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联系人：</w:t>
      </w:r>
      <w:r>
        <w:rPr>
          <w:rFonts w:hint="eastAsia" w:ascii="Times New Roman" w:hAnsi="Times New Roman"/>
          <w:color w:val="auto"/>
          <w:szCs w:val="21"/>
          <w:lang w:eastAsia="zh-CN"/>
        </w:rPr>
        <w:t>王</w:t>
      </w:r>
      <w:r>
        <w:rPr>
          <w:rFonts w:hint="eastAsia" w:ascii="Times New Roman" w:hAnsi="Times New Roman"/>
          <w:color w:val="auto"/>
          <w:szCs w:val="21"/>
        </w:rPr>
        <w:t>老师</w:t>
      </w:r>
    </w:p>
    <w:p>
      <w:pPr>
        <w:pStyle w:val="16"/>
        <w:spacing w:line="360" w:lineRule="auto"/>
        <w:ind w:firstLine="420" w:firstLineChars="200"/>
        <w:rPr>
          <w:rFonts w:hint="eastAsia" w:ascii="Times New Roman" w:hAnsi="Times New Roman" w:eastAsia="宋体"/>
          <w:color w:val="auto"/>
          <w:szCs w:val="21"/>
          <w:lang w:val="en-US" w:eastAsia="zh-CN"/>
        </w:rPr>
      </w:pPr>
      <w:r>
        <w:rPr>
          <w:rFonts w:hint="eastAsia" w:ascii="Times New Roman" w:hAnsi="Times New Roman"/>
          <w:color w:val="auto"/>
          <w:szCs w:val="21"/>
        </w:rPr>
        <w:t>联系电话：</w:t>
      </w:r>
      <w:r>
        <w:rPr>
          <w:rFonts w:hint="eastAsia" w:ascii="Times New Roman" w:hAnsi="Times New Roman"/>
          <w:color w:val="auto"/>
          <w:szCs w:val="21"/>
          <w:lang w:val="en-US" w:eastAsia="zh-CN"/>
        </w:rPr>
        <w:t>025-86265500 / 15358159395</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6"/>
        <w:wordWrap w:val="0"/>
        <w:spacing w:before="0" w:beforeAutospacing="0" w:after="0" w:afterAutospacing="0" w:line="360" w:lineRule="auto"/>
        <w:ind w:firstLine="482"/>
        <w:rPr>
          <w:rFonts w:ascii="Times New Roman" w:hAnsi="Times New Roman" w:cs="Times New Roman"/>
          <w:color w:val="auto"/>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rPr>
        <w:t xml:space="preserve">  </w:t>
      </w:r>
      <w:r>
        <w:rPr>
          <w:rFonts w:ascii="Times New Roman" w:hAnsi="Times New Roman" w:eastAsia="楷体"/>
          <w:color w:val="auto"/>
          <w:sz w:val="44"/>
        </w:rPr>
        <w:t>投标人须知</w:t>
      </w:r>
      <w:bookmarkEnd w:id="11"/>
    </w:p>
    <w:p>
      <w:pPr>
        <w:pStyle w:val="26"/>
        <w:spacing w:before="0" w:beforeAutospacing="0" w:after="150" w:afterAutospacing="0" w:line="420" w:lineRule="atLeas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color w:val="auto"/>
          <w:sz w:val="21"/>
          <w:szCs w:val="21"/>
        </w:rPr>
      </w:pPr>
      <w:bookmarkStart w:id="12" w:name="_Toc386980211"/>
      <w:bookmarkStart w:id="13" w:name="_Toc384844734"/>
      <w:bookmarkStart w:id="14" w:name="_Toc455914605"/>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投标函</w:t>
      </w:r>
      <w:r>
        <w:rPr>
          <w:rFonts w:hint="eastAsia" w:ascii="Times New Roman" w:hAnsi="Times New Roman"/>
          <w:color w:val="auto"/>
          <w:szCs w:val="21"/>
        </w:rPr>
        <w:t>及开标一览表</w:t>
      </w:r>
    </w:p>
    <w:p>
      <w:pPr>
        <w:pStyle w:val="16"/>
        <w:numPr>
          <w:ilvl w:val="0"/>
          <w:numId w:val="5"/>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法定代表人资格证明书或授权委托书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rPr>
        <w:t>设备材料清单及</w:t>
      </w:r>
      <w:r>
        <w:rPr>
          <w:rFonts w:ascii="Times New Roman" w:hAnsi="Times New Roman"/>
          <w:color w:val="auto"/>
          <w:szCs w:val="21"/>
        </w:rPr>
        <w:t>投标报价</w:t>
      </w:r>
      <w:r>
        <w:rPr>
          <w:rFonts w:hint="eastAsia" w:ascii="Times New Roman" w:hAnsi="Times New Roman"/>
          <w:color w:val="auto"/>
          <w:szCs w:val="21"/>
        </w:rPr>
        <w:t>明细</w:t>
      </w:r>
      <w:r>
        <w:rPr>
          <w:rFonts w:ascii="Times New Roman" w:hAnsi="Times New Roman"/>
          <w:color w:val="auto"/>
          <w:szCs w:val="21"/>
        </w:rPr>
        <w:t>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、产品质保及服务承诺书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、资格证明文件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spacing w:line="360" w:lineRule="auto"/>
        <w:ind w:firstLine="420" w:firstLineChars="200"/>
        <w:rPr>
          <w:rFonts w:ascii="Times New Roman" w:hAnsi="Times New Roman"/>
          <w:color w:val="auto"/>
          <w:szCs w:val="21"/>
        </w:rPr>
      </w:pPr>
      <w:bookmarkStart w:id="17" w:name="_Toc455914608"/>
      <w:bookmarkStart w:id="18" w:name="_Toc386980213"/>
      <w:bookmarkStart w:id="19" w:name="_Toc384844736"/>
      <w:r>
        <w:rPr>
          <w:rFonts w:hint="eastAsia" w:ascii="Times New Roman" w:hAnsi="Times New Roman"/>
          <w:color w:val="auto"/>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2、报价单位需对上述项目全部报价，最低价不作为中标保证（在密封的文件上注明所投项目）。</w:t>
      </w:r>
    </w:p>
    <w:bookmarkEnd w:id="17"/>
    <w:bookmarkEnd w:id="18"/>
    <w:bookmarkEnd w:id="19"/>
    <w:p>
      <w:pPr>
        <w:pStyle w:val="5"/>
        <w:rPr>
          <w:rFonts w:ascii="Times New Roman" w:hAnsi="Times New Roman"/>
          <w:color w:val="auto"/>
          <w:sz w:val="21"/>
          <w:szCs w:val="21"/>
        </w:rPr>
      </w:pPr>
      <w:bookmarkStart w:id="20" w:name="_Toc384844737"/>
      <w:bookmarkStart w:id="21" w:name="_Toc386980214"/>
      <w:bookmarkStart w:id="22" w:name="_Toc455914609"/>
      <w:r>
        <w:rPr>
          <w:rFonts w:hint="eastAsia" w:ascii="Times New Roman" w:hAnsi="Times New Roman"/>
          <w:color w:val="auto"/>
          <w:sz w:val="21"/>
          <w:szCs w:val="21"/>
        </w:rPr>
        <w:t>2.4评标与定标</w:t>
      </w:r>
      <w:bookmarkEnd w:id="20"/>
      <w:bookmarkEnd w:id="21"/>
      <w:bookmarkEnd w:id="22"/>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left="420" w:leftChars="200"/>
        <w:rPr>
          <w:rFonts w:ascii="Times New Roman" w:hAnsi="Times New Roman"/>
          <w:color w:val="auto"/>
          <w:szCs w:val="21"/>
        </w:rPr>
      </w:pPr>
      <w:r>
        <w:rPr>
          <w:rFonts w:hint="eastAsia" w:ascii="Times New Roman" w:hAnsi="Times New Roman"/>
          <w:color w:val="auto"/>
          <w:szCs w:val="21"/>
        </w:rPr>
        <w:t xml:space="preserve">2、本次招标采用 </w:t>
      </w:r>
      <w:r>
        <w:rPr>
          <w:rFonts w:hint="eastAsia" w:ascii="Times New Roman" w:hAnsi="Times New Roman"/>
          <w:color w:val="auto"/>
          <w:szCs w:val="21"/>
          <w:u w:val="single"/>
        </w:rPr>
        <w:t>综合评分法</w:t>
      </w:r>
      <w:r>
        <w:rPr>
          <w:rFonts w:hint="eastAsia" w:ascii="Times New Roman" w:hAnsi="Times New Roman"/>
          <w:color w:val="auto"/>
          <w:szCs w:val="21"/>
        </w:rPr>
        <w:t>，</w:t>
      </w:r>
      <w:r>
        <w:rPr>
          <w:rFonts w:ascii="Times New Roman" w:hAnsi="Times New Roman"/>
          <w:color w:val="auto"/>
          <w:szCs w:val="21"/>
        </w:rPr>
        <w:t>即在最大限度地满足招标文件实质性要求</w:t>
      </w:r>
      <w:r>
        <w:rPr>
          <w:rFonts w:hint="eastAsia" w:ascii="Times New Roman" w:hAnsi="Times New Roman"/>
          <w:color w:val="auto"/>
          <w:szCs w:val="21"/>
        </w:rPr>
        <w:t>的</w:t>
      </w:r>
      <w:r>
        <w:rPr>
          <w:rFonts w:ascii="Times New Roman" w:hAnsi="Times New Roman"/>
          <w:color w:val="auto"/>
          <w:szCs w:val="21"/>
        </w:rPr>
        <w:t>前提下，按照招标文件中规定的各项因素进行综合评审后，以评标总得分最高的投标人作为中标候选供应商或者中标供应商的评标方法。</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3、评分规则：</w:t>
      </w:r>
    </w:p>
    <w:tbl>
      <w:tblPr>
        <w:tblStyle w:val="35"/>
        <w:tblW w:w="95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15"/>
        <w:gridCol w:w="688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85" w:type="dxa"/>
            <w:vAlign w:val="center"/>
          </w:tcPr>
          <w:p>
            <w:pPr>
              <w:jc w:val="center"/>
              <w:rPr>
                <w:b/>
                <w:bCs/>
                <w:color w:val="auto"/>
                <w:kern w:val="0"/>
                <w:szCs w:val="21"/>
              </w:rPr>
            </w:pPr>
            <w:r>
              <w:rPr>
                <w:b/>
                <w:bCs/>
                <w:color w:val="auto"/>
                <w:kern w:val="0"/>
                <w:szCs w:val="21"/>
              </w:rPr>
              <w:t>序号</w:t>
            </w:r>
          </w:p>
        </w:tc>
        <w:tc>
          <w:tcPr>
            <w:tcW w:w="1215" w:type="dxa"/>
            <w:vAlign w:val="center"/>
          </w:tcPr>
          <w:p>
            <w:pPr>
              <w:jc w:val="center"/>
              <w:rPr>
                <w:b/>
                <w:bCs/>
                <w:color w:val="auto"/>
                <w:szCs w:val="21"/>
              </w:rPr>
            </w:pPr>
            <w:r>
              <w:rPr>
                <w:b/>
                <w:bCs/>
                <w:color w:val="auto"/>
                <w:kern w:val="0"/>
                <w:szCs w:val="21"/>
              </w:rPr>
              <w:t>评分因素</w:t>
            </w:r>
          </w:p>
        </w:tc>
        <w:tc>
          <w:tcPr>
            <w:tcW w:w="6887" w:type="dxa"/>
            <w:vAlign w:val="center"/>
          </w:tcPr>
          <w:p>
            <w:pPr>
              <w:jc w:val="center"/>
              <w:rPr>
                <w:b/>
                <w:bCs/>
                <w:color w:val="auto"/>
                <w:szCs w:val="21"/>
              </w:rPr>
            </w:pPr>
            <w:r>
              <w:rPr>
                <w:b/>
                <w:bCs/>
                <w:color w:val="auto"/>
                <w:kern w:val="0"/>
                <w:szCs w:val="21"/>
              </w:rPr>
              <w:t>评审标准</w:t>
            </w:r>
          </w:p>
        </w:tc>
        <w:tc>
          <w:tcPr>
            <w:tcW w:w="762" w:type="dxa"/>
            <w:vAlign w:val="center"/>
          </w:tcPr>
          <w:p>
            <w:pPr>
              <w:jc w:val="center"/>
              <w:rPr>
                <w:b/>
                <w:bCs/>
                <w:color w:val="auto"/>
                <w:szCs w:val="21"/>
              </w:rPr>
            </w:pPr>
            <w:r>
              <w:rPr>
                <w:b/>
                <w:bCs/>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jc w:val="center"/>
        </w:trPr>
        <w:tc>
          <w:tcPr>
            <w:tcW w:w="685" w:type="dxa"/>
            <w:vAlign w:val="center"/>
          </w:tcPr>
          <w:p>
            <w:pPr>
              <w:jc w:val="center"/>
              <w:rPr>
                <w:rFonts w:eastAsiaTheme="minorEastAsia"/>
                <w:color w:val="auto"/>
                <w:kern w:val="0"/>
                <w:szCs w:val="21"/>
              </w:rPr>
            </w:pPr>
            <w:r>
              <w:rPr>
                <w:rFonts w:eastAsiaTheme="minorEastAsia"/>
                <w:color w:val="auto"/>
                <w:kern w:val="0"/>
                <w:szCs w:val="21"/>
              </w:rPr>
              <w:t>1</w:t>
            </w:r>
          </w:p>
        </w:tc>
        <w:tc>
          <w:tcPr>
            <w:tcW w:w="1215" w:type="dxa"/>
            <w:vAlign w:val="center"/>
          </w:tcPr>
          <w:p>
            <w:pPr>
              <w:jc w:val="center"/>
              <w:rPr>
                <w:rFonts w:eastAsiaTheme="minorEastAsia"/>
                <w:color w:val="auto"/>
                <w:kern w:val="0"/>
                <w:szCs w:val="21"/>
              </w:rPr>
            </w:pPr>
            <w:r>
              <w:rPr>
                <w:rFonts w:eastAsiaTheme="minorEastAsia"/>
                <w:bCs/>
                <w:color w:val="auto"/>
                <w:kern w:val="0"/>
                <w:szCs w:val="21"/>
              </w:rPr>
              <w:t>投标报价</w:t>
            </w:r>
          </w:p>
        </w:tc>
        <w:tc>
          <w:tcPr>
            <w:tcW w:w="6887" w:type="dxa"/>
            <w:vAlign w:val="center"/>
          </w:tcPr>
          <w:p>
            <w:pPr>
              <w:spacing w:line="400" w:lineRule="exact"/>
              <w:rPr>
                <w:rFonts w:eastAsiaTheme="minorEastAsia"/>
                <w:color w:val="auto"/>
                <w:kern w:val="0"/>
                <w:szCs w:val="21"/>
              </w:rPr>
            </w:pPr>
            <w:r>
              <w:rPr>
                <w:rFonts w:eastAsiaTheme="minorEastAsia"/>
                <w:bCs/>
                <w:color w:val="auto"/>
                <w:kern w:val="0"/>
                <w:szCs w:val="21"/>
              </w:rPr>
              <w:t>采用低价优先法计算，即满足招标文件要求且投标价格最低的投标报价为评标基准价，其价格分为满分。其他投标人的价格分按照下列公式计算（小数点保留两位）：投标报价得分= (评标基准价／投标报价)×</w:t>
            </w:r>
            <w:r>
              <w:rPr>
                <w:rFonts w:hint="eastAsia" w:eastAsiaTheme="minorEastAsia"/>
                <w:bCs/>
                <w:color w:val="auto"/>
                <w:kern w:val="0"/>
                <w:szCs w:val="21"/>
                <w:lang w:val="en-US" w:eastAsia="zh-CN"/>
              </w:rPr>
              <w:t>50</w:t>
            </w:r>
            <w:r>
              <w:rPr>
                <w:rFonts w:eastAsiaTheme="minorEastAsia"/>
                <w:bCs/>
                <w:color w:val="auto"/>
                <w:kern w:val="0"/>
                <w:szCs w:val="21"/>
              </w:rPr>
              <w:t>。</w:t>
            </w:r>
          </w:p>
        </w:tc>
        <w:tc>
          <w:tcPr>
            <w:tcW w:w="762" w:type="dxa"/>
            <w:vAlign w:val="center"/>
          </w:tcPr>
          <w:p>
            <w:pPr>
              <w:jc w:val="center"/>
              <w:rPr>
                <w:rFonts w:eastAsiaTheme="minorEastAsia"/>
                <w:b/>
                <w:bCs/>
                <w:color w:val="auto"/>
                <w:kern w:val="0"/>
                <w:szCs w:val="21"/>
              </w:rPr>
            </w:pPr>
            <w:r>
              <w:rPr>
                <w:rFonts w:hint="eastAsia" w:eastAsiaTheme="minorEastAsia"/>
                <w:color w:val="auto"/>
                <w:kern w:val="0"/>
                <w:szCs w:val="21"/>
                <w:lang w:val="en-US" w:eastAsia="zh-CN"/>
              </w:rPr>
              <w:t>5</w:t>
            </w:r>
            <w:r>
              <w:rPr>
                <w:rFonts w:eastAsiaTheme="minorEastAsia"/>
                <w:color w:val="auto"/>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685" w:type="dxa"/>
            <w:vAlign w:val="center"/>
          </w:tcPr>
          <w:p>
            <w:pPr>
              <w:jc w:val="center"/>
              <w:rPr>
                <w:rFonts w:eastAsiaTheme="minorEastAsia"/>
                <w:color w:val="auto"/>
                <w:kern w:val="0"/>
                <w:szCs w:val="21"/>
              </w:rPr>
            </w:pPr>
            <w:r>
              <w:rPr>
                <w:rFonts w:hint="eastAsia" w:eastAsiaTheme="minorEastAsia"/>
                <w:color w:val="auto"/>
                <w:szCs w:val="21"/>
              </w:rPr>
              <w:t>2</w:t>
            </w:r>
          </w:p>
        </w:tc>
        <w:tc>
          <w:tcPr>
            <w:tcW w:w="1215" w:type="dxa"/>
            <w:vAlign w:val="center"/>
          </w:tcPr>
          <w:p>
            <w:pPr>
              <w:jc w:val="center"/>
              <w:rPr>
                <w:rFonts w:eastAsiaTheme="minorEastAsia"/>
                <w:bCs/>
                <w:color w:val="auto"/>
                <w:kern w:val="0"/>
                <w:szCs w:val="21"/>
              </w:rPr>
            </w:pPr>
            <w:r>
              <w:rPr>
                <w:rFonts w:hint="eastAsia" w:eastAsiaTheme="minorEastAsia"/>
                <w:color w:val="auto"/>
                <w:szCs w:val="21"/>
                <w:lang w:eastAsia="zh-CN"/>
              </w:rPr>
              <w:t>企业</w:t>
            </w:r>
            <w:r>
              <w:rPr>
                <w:rFonts w:eastAsiaTheme="minorEastAsia"/>
                <w:color w:val="auto"/>
                <w:szCs w:val="21"/>
              </w:rPr>
              <w:t>业绩</w:t>
            </w:r>
          </w:p>
        </w:tc>
        <w:tc>
          <w:tcPr>
            <w:tcW w:w="6887" w:type="dxa"/>
            <w:vAlign w:val="center"/>
          </w:tcPr>
          <w:p>
            <w:pPr>
              <w:spacing w:line="400" w:lineRule="exact"/>
              <w:rPr>
                <w:rFonts w:eastAsiaTheme="minorEastAsia"/>
                <w:bCs/>
                <w:color w:val="auto"/>
                <w:kern w:val="0"/>
                <w:szCs w:val="21"/>
              </w:rPr>
            </w:pPr>
            <w:r>
              <w:rPr>
                <w:color w:val="auto"/>
              </w:rPr>
              <w:t>根据投标人提供的</w:t>
            </w:r>
            <w:r>
              <w:rPr>
                <w:rFonts w:hint="eastAsia"/>
                <w:color w:val="auto"/>
                <w:lang w:val="en-US" w:eastAsia="zh-CN"/>
              </w:rPr>
              <w:t>2016年以来承担过的灭火器维修换药</w:t>
            </w:r>
            <w:r>
              <w:rPr>
                <w:rFonts w:hint="eastAsia"/>
                <w:color w:val="auto"/>
                <w:szCs w:val="21"/>
              </w:rPr>
              <w:t>类似</w:t>
            </w:r>
            <w:r>
              <w:rPr>
                <w:color w:val="auto"/>
                <w:szCs w:val="21"/>
              </w:rPr>
              <w:t>项目的相关业绩证明</w:t>
            </w:r>
            <w:r>
              <w:rPr>
                <w:color w:val="auto"/>
              </w:rPr>
              <w:t>（</w:t>
            </w:r>
            <w:r>
              <w:rPr>
                <w:rFonts w:hint="eastAsia"/>
                <w:color w:val="auto"/>
                <w:lang w:eastAsia="zh-CN"/>
              </w:rPr>
              <w:t>需</w:t>
            </w:r>
            <w:r>
              <w:rPr>
                <w:color w:val="auto"/>
              </w:rPr>
              <w:t>提供合同复印件）打分，</w:t>
            </w:r>
            <w:r>
              <w:rPr>
                <w:rFonts w:hint="eastAsia"/>
                <w:color w:val="auto"/>
                <w:lang w:eastAsia="zh-CN"/>
              </w:rPr>
              <w:t>每份</w:t>
            </w:r>
            <w:r>
              <w:rPr>
                <w:color w:val="auto"/>
              </w:rPr>
              <w:t>合同</w:t>
            </w:r>
            <w:r>
              <w:rPr>
                <w:rFonts w:hint="eastAsia"/>
                <w:color w:val="auto"/>
                <w:lang w:val="en-US" w:eastAsia="zh-CN"/>
              </w:rPr>
              <w:t>5</w:t>
            </w:r>
            <w:r>
              <w:rPr>
                <w:color w:val="auto"/>
              </w:rPr>
              <w:t>分，</w:t>
            </w:r>
            <w:r>
              <w:rPr>
                <w:rFonts w:hint="eastAsia"/>
                <w:color w:val="auto"/>
                <w:lang w:val="en-US" w:eastAsia="zh-CN"/>
              </w:rPr>
              <w:t>20</w:t>
            </w:r>
            <w:r>
              <w:rPr>
                <w:color w:val="auto"/>
              </w:rPr>
              <w:t>分</w:t>
            </w:r>
            <w:r>
              <w:rPr>
                <w:rFonts w:hint="eastAsia"/>
                <w:color w:val="auto"/>
                <w:lang w:eastAsia="zh-CN"/>
              </w:rPr>
              <w:t>封顶</w:t>
            </w:r>
            <w:r>
              <w:rPr>
                <w:color w:val="auto"/>
              </w:rPr>
              <w:t>。</w:t>
            </w:r>
          </w:p>
        </w:tc>
        <w:tc>
          <w:tcPr>
            <w:tcW w:w="762" w:type="dxa"/>
            <w:vAlign w:val="center"/>
          </w:tcPr>
          <w:p>
            <w:pPr>
              <w:spacing w:line="280" w:lineRule="exact"/>
              <w:jc w:val="center"/>
              <w:rPr>
                <w:rFonts w:hint="eastAsia" w:eastAsiaTheme="minorEastAsia"/>
                <w:color w:val="auto"/>
                <w:kern w:val="0"/>
                <w:szCs w:val="21"/>
                <w:lang w:val="en-US" w:eastAsia="zh-CN"/>
              </w:rPr>
            </w:pPr>
            <w:r>
              <w:rPr>
                <w:rFonts w:hint="eastAsia" w:eastAsiaTheme="minorEastAsia"/>
                <w:color w:val="auto"/>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685" w:type="dxa"/>
            <w:vAlign w:val="center"/>
          </w:tcPr>
          <w:p>
            <w:pPr>
              <w:jc w:val="center"/>
              <w:rPr>
                <w:rFonts w:eastAsiaTheme="minorEastAsia"/>
                <w:color w:val="auto"/>
                <w:kern w:val="0"/>
                <w:szCs w:val="21"/>
              </w:rPr>
            </w:pPr>
            <w:r>
              <w:rPr>
                <w:rFonts w:hint="eastAsia" w:eastAsiaTheme="minorEastAsia"/>
                <w:color w:val="auto"/>
                <w:szCs w:val="21"/>
              </w:rPr>
              <w:t>3</w:t>
            </w:r>
          </w:p>
        </w:tc>
        <w:tc>
          <w:tcPr>
            <w:tcW w:w="1215" w:type="dxa"/>
            <w:vAlign w:val="center"/>
          </w:tcPr>
          <w:p>
            <w:pPr>
              <w:jc w:val="center"/>
              <w:rPr>
                <w:rFonts w:hint="eastAsia" w:eastAsiaTheme="minorEastAsia"/>
                <w:bCs/>
                <w:color w:val="auto"/>
                <w:kern w:val="0"/>
                <w:szCs w:val="21"/>
                <w:lang w:eastAsia="zh-CN"/>
              </w:rPr>
            </w:pPr>
            <w:r>
              <w:rPr>
                <w:rFonts w:hint="eastAsia" w:eastAsiaTheme="minorEastAsia"/>
                <w:bCs/>
                <w:color w:val="auto"/>
                <w:kern w:val="0"/>
                <w:szCs w:val="21"/>
                <w:lang w:eastAsia="zh-CN"/>
              </w:rPr>
              <w:t>体系认证</w:t>
            </w:r>
          </w:p>
        </w:tc>
        <w:tc>
          <w:tcPr>
            <w:tcW w:w="6887" w:type="dxa"/>
            <w:vAlign w:val="center"/>
          </w:tcPr>
          <w:p>
            <w:pPr>
              <w:spacing w:line="400" w:lineRule="exact"/>
              <w:rPr>
                <w:rFonts w:hint="eastAsia" w:eastAsiaTheme="minorEastAsia"/>
                <w:bCs/>
                <w:color w:val="auto"/>
                <w:kern w:val="0"/>
                <w:szCs w:val="21"/>
                <w:lang w:val="en-US" w:eastAsia="zh-CN"/>
              </w:rPr>
            </w:pPr>
            <w:r>
              <w:rPr>
                <w:rFonts w:hint="eastAsia" w:eastAsiaTheme="minorEastAsia"/>
                <w:bCs/>
                <w:color w:val="auto"/>
                <w:kern w:val="0"/>
                <w:szCs w:val="21"/>
                <w:lang w:eastAsia="zh-CN"/>
              </w:rPr>
              <w:t>投标人</w:t>
            </w:r>
            <w:r>
              <w:rPr>
                <w:rFonts w:hint="eastAsia" w:eastAsiaTheme="minorEastAsia"/>
                <w:bCs/>
                <w:color w:val="auto"/>
                <w:kern w:val="0"/>
                <w:szCs w:val="21"/>
              </w:rPr>
              <w:t>通过ISO9001质量管理体系认证</w:t>
            </w:r>
            <w:r>
              <w:rPr>
                <w:rFonts w:hint="eastAsia" w:eastAsiaTheme="minorEastAsia"/>
                <w:bCs/>
                <w:color w:val="auto"/>
                <w:kern w:val="0"/>
                <w:szCs w:val="21"/>
                <w:lang w:eastAsia="zh-CN"/>
              </w:rPr>
              <w:t>、</w:t>
            </w:r>
            <w:r>
              <w:rPr>
                <w:rFonts w:hint="eastAsia" w:eastAsiaTheme="minorEastAsia"/>
                <w:bCs/>
                <w:color w:val="auto"/>
                <w:kern w:val="0"/>
                <w:szCs w:val="21"/>
              </w:rPr>
              <w:t>OHSAS18001职业健康安全管理体系认证</w:t>
            </w:r>
            <w:r>
              <w:rPr>
                <w:rFonts w:hint="eastAsia" w:eastAsiaTheme="minorEastAsia"/>
                <w:bCs/>
                <w:color w:val="auto"/>
                <w:kern w:val="0"/>
                <w:szCs w:val="21"/>
                <w:lang w:eastAsia="zh-CN"/>
              </w:rPr>
              <w:t>、</w:t>
            </w:r>
            <w:r>
              <w:rPr>
                <w:rFonts w:hint="eastAsia" w:eastAsiaTheme="minorEastAsia"/>
                <w:bCs/>
                <w:color w:val="auto"/>
                <w:kern w:val="0"/>
                <w:szCs w:val="21"/>
              </w:rPr>
              <w:t>ISO14001环境体系认证证书</w:t>
            </w:r>
            <w:r>
              <w:rPr>
                <w:rFonts w:hint="eastAsia" w:eastAsiaTheme="minorEastAsia"/>
                <w:bCs/>
                <w:color w:val="auto"/>
                <w:kern w:val="0"/>
                <w:szCs w:val="21"/>
                <w:lang w:eastAsia="zh-CN"/>
              </w:rPr>
              <w:t>的</w:t>
            </w:r>
            <w:r>
              <w:rPr>
                <w:rFonts w:hint="eastAsia" w:eastAsiaTheme="minorEastAsia"/>
                <w:bCs/>
                <w:color w:val="auto"/>
                <w:kern w:val="0"/>
                <w:szCs w:val="21"/>
              </w:rPr>
              <w:t>，</w:t>
            </w:r>
            <w:r>
              <w:rPr>
                <w:rFonts w:hint="eastAsia" w:eastAsiaTheme="minorEastAsia"/>
                <w:bCs/>
                <w:color w:val="auto"/>
                <w:kern w:val="0"/>
                <w:szCs w:val="21"/>
                <w:lang w:eastAsia="zh-CN"/>
              </w:rPr>
              <w:t>每个证书</w:t>
            </w:r>
            <w:r>
              <w:rPr>
                <w:rFonts w:hint="eastAsia" w:eastAsiaTheme="minorEastAsia"/>
                <w:bCs/>
                <w:color w:val="auto"/>
                <w:kern w:val="0"/>
                <w:szCs w:val="21"/>
                <w:lang w:val="en-US" w:eastAsia="zh-CN"/>
              </w:rPr>
              <w:t>3分，</w:t>
            </w:r>
            <w:r>
              <w:rPr>
                <w:rFonts w:hint="eastAsia" w:eastAsiaTheme="minorEastAsia"/>
                <w:bCs/>
                <w:color w:val="auto"/>
                <w:kern w:val="0"/>
                <w:szCs w:val="21"/>
                <w:lang w:eastAsia="zh-CN"/>
              </w:rPr>
              <w:t>共</w:t>
            </w:r>
            <w:r>
              <w:rPr>
                <w:rFonts w:hint="eastAsia" w:eastAsiaTheme="minorEastAsia"/>
                <w:bCs/>
                <w:color w:val="auto"/>
                <w:kern w:val="0"/>
                <w:szCs w:val="21"/>
                <w:lang w:val="en-US" w:eastAsia="zh-CN"/>
              </w:rPr>
              <w:t>9分。</w:t>
            </w:r>
          </w:p>
        </w:tc>
        <w:tc>
          <w:tcPr>
            <w:tcW w:w="762" w:type="dxa"/>
            <w:vAlign w:val="center"/>
          </w:tcPr>
          <w:p>
            <w:pPr>
              <w:spacing w:line="280" w:lineRule="exact"/>
              <w:jc w:val="center"/>
              <w:rPr>
                <w:rFonts w:hint="eastAsia" w:eastAsiaTheme="minorEastAsia"/>
                <w:color w:val="auto"/>
                <w:kern w:val="0"/>
                <w:szCs w:val="21"/>
                <w:lang w:val="en-US" w:eastAsia="zh-CN"/>
              </w:rPr>
            </w:pPr>
            <w:r>
              <w:rPr>
                <w:rFonts w:hint="eastAsia" w:eastAsiaTheme="minorEastAsia"/>
                <w:color w:val="auto"/>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85" w:type="dxa"/>
            <w:vAlign w:val="center"/>
          </w:tcPr>
          <w:p>
            <w:pPr>
              <w:jc w:val="center"/>
              <w:rPr>
                <w:rFonts w:hint="eastAsia" w:eastAsiaTheme="minorEastAsia"/>
                <w:color w:val="auto"/>
                <w:szCs w:val="21"/>
                <w:lang w:val="en-US" w:eastAsia="zh-CN"/>
              </w:rPr>
            </w:pPr>
            <w:r>
              <w:rPr>
                <w:rFonts w:hint="eastAsia" w:eastAsiaTheme="minorEastAsia"/>
                <w:color w:val="auto"/>
                <w:szCs w:val="21"/>
                <w:lang w:val="en-US" w:eastAsia="zh-CN"/>
              </w:rPr>
              <w:t>4</w:t>
            </w:r>
          </w:p>
        </w:tc>
        <w:tc>
          <w:tcPr>
            <w:tcW w:w="1215" w:type="dxa"/>
            <w:vAlign w:val="center"/>
          </w:tcPr>
          <w:p>
            <w:pPr>
              <w:jc w:val="center"/>
              <w:rPr>
                <w:rFonts w:hint="eastAsia" w:eastAsiaTheme="minorEastAsia"/>
                <w:bCs/>
                <w:color w:val="auto"/>
                <w:kern w:val="0"/>
                <w:szCs w:val="21"/>
                <w:lang w:eastAsia="zh-CN"/>
              </w:rPr>
            </w:pPr>
            <w:r>
              <w:rPr>
                <w:rFonts w:hint="eastAsia" w:eastAsiaTheme="minorEastAsia"/>
                <w:bCs/>
                <w:color w:val="auto"/>
                <w:kern w:val="0"/>
                <w:szCs w:val="21"/>
                <w:lang w:eastAsia="zh-CN"/>
              </w:rPr>
              <w:t>质保年限</w:t>
            </w:r>
          </w:p>
        </w:tc>
        <w:tc>
          <w:tcPr>
            <w:tcW w:w="6887" w:type="dxa"/>
            <w:vAlign w:val="center"/>
          </w:tcPr>
          <w:p>
            <w:pPr>
              <w:spacing w:line="400" w:lineRule="exact"/>
              <w:rPr>
                <w:rFonts w:hint="eastAsia" w:eastAsiaTheme="minorEastAsia"/>
                <w:bCs/>
                <w:color w:val="auto"/>
                <w:kern w:val="0"/>
                <w:szCs w:val="21"/>
              </w:rPr>
            </w:pPr>
            <w:r>
              <w:rPr>
                <w:rFonts w:hint="eastAsia"/>
                <w:color w:val="auto"/>
                <w:szCs w:val="20"/>
              </w:rPr>
              <w:t>免费质保期</w:t>
            </w:r>
            <w:r>
              <w:rPr>
                <w:rFonts w:hint="eastAsia"/>
                <w:color w:val="auto"/>
                <w:szCs w:val="20"/>
                <w:lang w:val="en-US" w:eastAsia="zh-CN"/>
              </w:rPr>
              <w:t>2</w:t>
            </w:r>
            <w:r>
              <w:rPr>
                <w:rFonts w:hint="eastAsia"/>
                <w:color w:val="auto"/>
                <w:szCs w:val="20"/>
              </w:rPr>
              <w:t>年（含）内不得分，每延长一年加2分，</w:t>
            </w:r>
            <w:r>
              <w:rPr>
                <w:rFonts w:hint="eastAsia"/>
                <w:color w:val="auto"/>
                <w:szCs w:val="20"/>
                <w:lang w:val="en-US" w:eastAsia="zh-CN"/>
              </w:rPr>
              <w:t>6</w:t>
            </w:r>
            <w:r>
              <w:rPr>
                <w:rFonts w:hint="eastAsia"/>
                <w:color w:val="auto"/>
                <w:szCs w:val="20"/>
              </w:rPr>
              <w:t>分封顶。</w:t>
            </w:r>
          </w:p>
        </w:tc>
        <w:tc>
          <w:tcPr>
            <w:tcW w:w="762" w:type="dxa"/>
            <w:vAlign w:val="center"/>
          </w:tcPr>
          <w:p>
            <w:pPr>
              <w:spacing w:line="280" w:lineRule="exact"/>
              <w:jc w:val="center"/>
              <w:rPr>
                <w:rFonts w:hint="eastAsia" w:eastAsiaTheme="minorEastAsia"/>
                <w:color w:val="auto"/>
                <w:szCs w:val="21"/>
                <w:lang w:val="en-US" w:eastAsia="zh-CN"/>
              </w:rPr>
            </w:pPr>
            <w:r>
              <w:rPr>
                <w:rFonts w:hint="eastAsia" w:eastAsiaTheme="minorEastAsia"/>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jc w:val="center"/>
        </w:trPr>
        <w:tc>
          <w:tcPr>
            <w:tcW w:w="685" w:type="dxa"/>
            <w:vAlign w:val="center"/>
          </w:tcPr>
          <w:p>
            <w:pPr>
              <w:spacing w:line="280" w:lineRule="exact"/>
              <w:jc w:val="center"/>
              <w:rPr>
                <w:rFonts w:hint="eastAsia" w:eastAsiaTheme="minorEastAsia"/>
                <w:color w:val="auto"/>
                <w:szCs w:val="21"/>
                <w:lang w:val="en-US" w:eastAsia="zh-CN"/>
              </w:rPr>
            </w:pPr>
            <w:r>
              <w:rPr>
                <w:rFonts w:hint="eastAsia" w:eastAsiaTheme="minorEastAsia"/>
                <w:color w:val="auto"/>
                <w:szCs w:val="21"/>
                <w:lang w:val="en-US" w:eastAsia="zh-CN"/>
              </w:rPr>
              <w:t>5</w:t>
            </w:r>
          </w:p>
        </w:tc>
        <w:tc>
          <w:tcPr>
            <w:tcW w:w="1215" w:type="dxa"/>
            <w:vAlign w:val="center"/>
          </w:tcPr>
          <w:p>
            <w:pPr>
              <w:spacing w:line="280" w:lineRule="exact"/>
              <w:jc w:val="center"/>
              <w:rPr>
                <w:rFonts w:eastAsiaTheme="minorEastAsia"/>
                <w:color w:val="auto"/>
                <w:szCs w:val="21"/>
              </w:rPr>
            </w:pPr>
            <w:r>
              <w:rPr>
                <w:color w:val="auto"/>
              </w:rPr>
              <w:t>服务承诺</w:t>
            </w:r>
          </w:p>
        </w:tc>
        <w:tc>
          <w:tcPr>
            <w:tcW w:w="6887" w:type="dxa"/>
            <w:vAlign w:val="center"/>
          </w:tcPr>
          <w:p>
            <w:pPr>
              <w:spacing w:line="400" w:lineRule="exact"/>
              <w:rPr>
                <w:rFonts w:hint="eastAsia"/>
                <w:color w:val="auto"/>
                <w:lang w:val="en-US" w:eastAsia="zh-CN"/>
              </w:rPr>
            </w:pPr>
            <w:r>
              <w:rPr>
                <w:rFonts w:hint="eastAsia"/>
                <w:color w:val="auto"/>
                <w:lang w:val="en-US" w:eastAsia="zh-CN"/>
              </w:rPr>
              <w:t>根据投标人针对本项目提出的项目管理措施、质量保证措施、确保供货周期、后期服务配合等做出的服务承诺优劣，横向比较后打分。</w:t>
            </w:r>
          </w:p>
          <w:p>
            <w:pPr>
              <w:spacing w:line="400" w:lineRule="exact"/>
              <w:rPr>
                <w:rFonts w:hint="eastAsia"/>
                <w:color w:val="auto"/>
                <w:szCs w:val="20"/>
              </w:rPr>
            </w:pPr>
            <w:r>
              <w:rPr>
                <w:rFonts w:hint="eastAsia"/>
                <w:color w:val="auto"/>
                <w:lang w:val="en-US" w:eastAsia="zh-CN"/>
              </w:rPr>
              <w:t>优：15分；良：10分；一般：5分；没有不得分。</w:t>
            </w:r>
          </w:p>
        </w:tc>
        <w:tc>
          <w:tcPr>
            <w:tcW w:w="762" w:type="dxa"/>
            <w:vAlign w:val="center"/>
          </w:tcPr>
          <w:p>
            <w:pPr>
              <w:spacing w:line="280" w:lineRule="exact"/>
              <w:jc w:val="center"/>
              <w:rPr>
                <w:rFonts w:hint="eastAsia" w:eastAsiaTheme="minorEastAsia"/>
                <w:color w:val="auto"/>
                <w:szCs w:val="21"/>
                <w:lang w:val="en-US" w:eastAsia="zh-CN"/>
              </w:rPr>
            </w:pPr>
            <w:r>
              <w:rPr>
                <w:rFonts w:hint="eastAsia" w:eastAsiaTheme="minorEastAsia"/>
                <w:color w:val="auto"/>
                <w:szCs w:val="21"/>
                <w:lang w:val="en-US" w:eastAsia="zh-CN"/>
              </w:rPr>
              <w:t>15</w:t>
            </w:r>
          </w:p>
        </w:tc>
      </w:tr>
    </w:tbl>
    <w:p>
      <w:pPr>
        <w:pStyle w:val="16"/>
        <w:spacing w:line="360" w:lineRule="auto"/>
        <w:ind w:firstLine="420" w:firstLineChars="200"/>
        <w:rPr>
          <w:rFonts w:ascii="Times New Roman" w:hAnsi="Times New Roman"/>
          <w:color w:val="auto"/>
          <w:szCs w:val="21"/>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4、评标结束后，投标人可至江苏城市职业学院首页下方（http://www.jscvc.cn/）“招标公告”栏的“中标公示”中查看公示最终结果。</w:t>
      </w:r>
    </w:p>
    <w:p>
      <w:pPr>
        <w:pStyle w:val="5"/>
        <w:rPr>
          <w:rStyle w:val="29"/>
          <w:rFonts w:ascii="Times New Roman" w:hAnsi="Times New Roman"/>
          <w:b/>
          <w:bCs w:val="0"/>
          <w:color w:val="auto"/>
          <w:sz w:val="21"/>
          <w:szCs w:val="21"/>
        </w:rPr>
      </w:pPr>
      <w:bookmarkStart w:id="23" w:name="_Toc384844738"/>
      <w:bookmarkStart w:id="24" w:name="_Toc386980215"/>
      <w:bookmarkStart w:id="25" w:name="_Toc455914610"/>
      <w:r>
        <w:rPr>
          <w:rFonts w:ascii="Times New Roman" w:hAnsi="Times New Roman"/>
          <w:color w:val="auto"/>
          <w:sz w:val="21"/>
          <w:szCs w:val="21"/>
        </w:rPr>
        <w:t>2.</w:t>
      </w:r>
      <w:r>
        <w:rPr>
          <w:rFonts w:hint="eastAsia" w:ascii="Times New Roman" w:hAnsi="Times New Roman"/>
          <w:color w:val="auto"/>
          <w:sz w:val="21"/>
          <w:szCs w:val="21"/>
        </w:rPr>
        <w:t>5</w:t>
      </w:r>
      <w:r>
        <w:rPr>
          <w:rFonts w:ascii="Times New Roman" w:hAnsi="Times New Roman"/>
          <w:color w:val="auto"/>
          <w:sz w:val="21"/>
          <w:szCs w:val="21"/>
        </w:rPr>
        <w:t>投标保证金</w:t>
      </w:r>
      <w:bookmarkEnd w:id="23"/>
      <w:bookmarkEnd w:id="24"/>
      <w:bookmarkEnd w:id="25"/>
      <w:bookmarkStart w:id="26" w:name="_Toc386980216"/>
      <w:bookmarkStart w:id="27" w:name="_Toc384844739"/>
      <w:bookmarkStart w:id="28" w:name="_Toc455914611"/>
    </w:p>
    <w:p>
      <w:pPr>
        <w:spacing w:line="400" w:lineRule="exact"/>
        <w:ind w:firstLine="420" w:firstLineChars="200"/>
        <w:rPr>
          <w:color w:val="auto"/>
        </w:rPr>
      </w:pPr>
      <w:r>
        <w:rPr>
          <w:rFonts w:hint="eastAsia"/>
          <w:color w:val="auto"/>
        </w:rPr>
        <w:t>无。</w:t>
      </w:r>
    </w:p>
    <w:p>
      <w:pPr>
        <w:pStyle w:val="5"/>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6</w:t>
      </w:r>
      <w:r>
        <w:rPr>
          <w:rFonts w:ascii="Times New Roman" w:hAnsi="Times New Roman"/>
          <w:color w:val="auto"/>
          <w:sz w:val="21"/>
          <w:szCs w:val="21"/>
        </w:rPr>
        <w:t>投标有效期</w:t>
      </w:r>
      <w:bookmarkEnd w:id="26"/>
      <w:bookmarkEnd w:id="27"/>
      <w:bookmarkEnd w:id="28"/>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color w:val="auto"/>
          <w:sz w:val="21"/>
          <w:szCs w:val="21"/>
        </w:rPr>
      </w:pPr>
      <w:bookmarkStart w:id="29" w:name="_Toc455914612"/>
      <w:r>
        <w:rPr>
          <w:rFonts w:ascii="Times New Roman" w:hAnsi="Times New Roman"/>
          <w:color w:val="auto"/>
          <w:sz w:val="21"/>
          <w:szCs w:val="21"/>
        </w:rPr>
        <w:t>2.</w:t>
      </w:r>
      <w:r>
        <w:rPr>
          <w:rFonts w:hint="eastAsia" w:ascii="Times New Roman" w:hAnsi="Times New Roman"/>
          <w:color w:val="auto"/>
          <w:sz w:val="21"/>
          <w:szCs w:val="21"/>
        </w:rPr>
        <w:t>7</w:t>
      </w:r>
      <w:r>
        <w:rPr>
          <w:rFonts w:ascii="Times New Roman" w:hAnsi="Times New Roman"/>
          <w:color w:val="auto"/>
          <w:sz w:val="21"/>
          <w:szCs w:val="21"/>
        </w:rPr>
        <w:t>无效投标的情形</w:t>
      </w:r>
      <w:bookmarkEnd w:id="29"/>
    </w:p>
    <w:p>
      <w:pPr>
        <w:pStyle w:val="16"/>
        <w:spacing w:line="360" w:lineRule="auto"/>
        <w:ind w:firstLine="420" w:firstLineChars="200"/>
        <w:rPr>
          <w:rFonts w:ascii="Times New Roman" w:hAnsi="Times New Roman"/>
          <w:color w:val="auto"/>
          <w:szCs w:val="21"/>
        </w:rPr>
      </w:pPr>
      <w:bookmarkStart w:id="30"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30"/>
    <w:p>
      <w:pPr>
        <w:pStyle w:val="5"/>
        <w:rPr>
          <w:rFonts w:ascii="Times New Roman" w:hAnsi="Times New Roman"/>
          <w:color w:val="auto"/>
          <w:sz w:val="21"/>
          <w:szCs w:val="21"/>
        </w:rPr>
      </w:pPr>
      <w:bookmarkStart w:id="31" w:name="_Toc386980217"/>
      <w:bookmarkStart w:id="32" w:name="_Toc384844740"/>
      <w:bookmarkStart w:id="33" w:name="_Toc455914614"/>
      <w:r>
        <w:rPr>
          <w:rFonts w:ascii="Times New Roman" w:hAnsi="Times New Roman"/>
          <w:color w:val="auto"/>
          <w:sz w:val="21"/>
          <w:szCs w:val="21"/>
        </w:rPr>
        <w:t>2.</w:t>
      </w:r>
      <w:r>
        <w:rPr>
          <w:rFonts w:hint="eastAsia" w:ascii="Times New Roman" w:hAnsi="Times New Roman"/>
          <w:color w:val="auto"/>
          <w:sz w:val="21"/>
          <w:szCs w:val="21"/>
        </w:rPr>
        <w:t>8</w:t>
      </w:r>
      <w:r>
        <w:rPr>
          <w:rFonts w:ascii="Times New Roman" w:hAnsi="Times New Roman"/>
          <w:color w:val="auto"/>
          <w:sz w:val="21"/>
          <w:szCs w:val="21"/>
        </w:rPr>
        <w:t>合同</w:t>
      </w:r>
      <w:bookmarkEnd w:id="31"/>
      <w:bookmarkEnd w:id="32"/>
      <w:r>
        <w:rPr>
          <w:rFonts w:ascii="Times New Roman" w:hAnsi="Times New Roman"/>
          <w:color w:val="auto"/>
          <w:sz w:val="21"/>
          <w:szCs w:val="21"/>
        </w:rPr>
        <w:t>签订</w:t>
      </w:r>
      <w:bookmarkEnd w:id="33"/>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rPr>
        <w:t>。</w:t>
      </w:r>
    </w:p>
    <w:p>
      <w:pPr>
        <w:pStyle w:val="5"/>
        <w:rPr>
          <w:rFonts w:ascii="Times New Roman" w:hAnsi="Times New Roman"/>
          <w:color w:val="auto"/>
          <w:sz w:val="21"/>
          <w:szCs w:val="21"/>
        </w:rPr>
      </w:pPr>
      <w:bookmarkStart w:id="34" w:name="_Toc384844741"/>
      <w:bookmarkStart w:id="35" w:name="_Toc386980218"/>
      <w:bookmarkStart w:id="36" w:name="_Toc455914616"/>
      <w:r>
        <w:rPr>
          <w:rFonts w:ascii="Times New Roman" w:hAnsi="Times New Roman"/>
          <w:color w:val="auto"/>
          <w:sz w:val="21"/>
          <w:szCs w:val="21"/>
        </w:rPr>
        <w:t>2.</w:t>
      </w:r>
      <w:r>
        <w:rPr>
          <w:rFonts w:hint="eastAsia" w:ascii="Times New Roman" w:hAnsi="Times New Roman"/>
          <w:color w:val="auto"/>
          <w:sz w:val="21"/>
          <w:szCs w:val="21"/>
        </w:rPr>
        <w:t>9</w:t>
      </w:r>
      <w:r>
        <w:rPr>
          <w:rFonts w:ascii="Times New Roman" w:hAnsi="Times New Roman"/>
          <w:color w:val="auto"/>
          <w:sz w:val="21"/>
          <w:szCs w:val="21"/>
        </w:rPr>
        <w:t>付款方式</w:t>
      </w:r>
      <w:bookmarkEnd w:id="34"/>
      <w:bookmarkEnd w:id="35"/>
      <w:bookmarkEnd w:id="36"/>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中标人所供产品必须保证为正规渠道供货的正宗原厂新品，到货并安装调试完毕后</w:t>
      </w:r>
      <w:r>
        <w:rPr>
          <w:rFonts w:hint="eastAsia" w:ascii="Times New Roman" w:hAnsi="Times New Roman"/>
          <w:color w:val="auto"/>
          <w:szCs w:val="21"/>
        </w:rPr>
        <w:t>，</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color w:val="auto"/>
          <w:szCs w:val="21"/>
        </w:rPr>
        <w:sectPr>
          <w:pgSz w:w="11906" w:h="16838"/>
          <w:pgMar w:top="1440" w:right="1080" w:bottom="1440" w:left="1080" w:header="850" w:footer="850" w:gutter="0"/>
          <w:cols w:space="720" w:num="1"/>
          <w:docGrid w:type="lines" w:linePitch="312" w:charSpace="0"/>
        </w:sectPr>
      </w:pPr>
      <w:r>
        <w:rPr>
          <w:rFonts w:hint="eastAsia" w:ascii="Times New Roman" w:hAnsi="Times New Roman"/>
          <w:color w:val="auto"/>
          <w:szCs w:val="21"/>
        </w:rPr>
        <w:t>2、学校不提供预付款，服务全部完成，全部货物运到采购人指定的地点，安装调试结束，经采购人验收合格，中标供应商提交所需单据后，支付合同总价的 95 %；余款5%作为质保金，一年后（从验收合格之日算起）无质量问题一个月内付清（不计利息）。</w:t>
      </w:r>
    </w:p>
    <w:p>
      <w:pPr>
        <w:pStyle w:val="5"/>
        <w:spacing w:line="360" w:lineRule="auto"/>
        <w:jc w:val="center"/>
        <w:rPr>
          <w:rFonts w:ascii="Times New Roman" w:hAnsi="Times New Roman" w:eastAsia="楷体"/>
          <w:color w:val="auto"/>
          <w:sz w:val="44"/>
        </w:rPr>
      </w:pPr>
      <w:bookmarkStart w:id="37" w:name="_Toc455914617"/>
      <w:r>
        <w:rPr>
          <w:rFonts w:ascii="Times New Roman" w:hAnsi="Times New Roman" w:eastAsia="楷体"/>
          <w:color w:val="auto"/>
          <w:sz w:val="44"/>
        </w:rPr>
        <w:t>第三部分</w:t>
      </w:r>
      <w:r>
        <w:rPr>
          <w:rFonts w:hint="eastAsia" w:ascii="Times New Roman" w:hAnsi="Times New Roman" w:eastAsia="楷体"/>
          <w:color w:val="auto"/>
          <w:sz w:val="44"/>
        </w:rPr>
        <w:t xml:space="preserve">  </w:t>
      </w:r>
      <w:r>
        <w:rPr>
          <w:rFonts w:ascii="Times New Roman" w:hAnsi="Times New Roman" w:eastAsia="楷体"/>
          <w:color w:val="auto"/>
          <w:sz w:val="44"/>
        </w:rPr>
        <w:t>项目需求</w:t>
      </w:r>
      <w:bookmarkEnd w:id="37"/>
    </w:p>
    <w:p>
      <w:pPr>
        <w:spacing w:line="360" w:lineRule="auto"/>
        <w:rPr>
          <w:b/>
          <w:color w:val="auto"/>
          <w:szCs w:val="21"/>
        </w:rPr>
      </w:pPr>
      <w:r>
        <w:rPr>
          <w:b/>
          <w:color w:val="auto"/>
          <w:szCs w:val="21"/>
        </w:rPr>
        <w:t xml:space="preserve">3.1 </w:t>
      </w:r>
      <w:r>
        <w:rPr>
          <w:rFonts w:hint="eastAsia"/>
          <w:b/>
          <w:color w:val="auto"/>
          <w:szCs w:val="21"/>
        </w:rPr>
        <w:t>基本要求</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lang w:eastAsia="zh-CN"/>
        </w:rPr>
        <w:t>（</w:t>
      </w:r>
      <w:r>
        <w:rPr>
          <w:rFonts w:hint="eastAsia" w:ascii="Times New Roman" w:hAnsi="Times New Roman"/>
          <w:color w:val="auto"/>
          <w:szCs w:val="21"/>
          <w:lang w:val="en-US" w:eastAsia="zh-CN"/>
        </w:rPr>
        <w:t>1</w:t>
      </w:r>
      <w:r>
        <w:rPr>
          <w:rFonts w:hint="eastAsia" w:ascii="Times New Roman" w:hAnsi="Times New Roman"/>
          <w:color w:val="auto"/>
          <w:szCs w:val="21"/>
          <w:lang w:eastAsia="zh-CN"/>
        </w:rPr>
        <w:t>）</w:t>
      </w:r>
      <w:r>
        <w:rPr>
          <w:rFonts w:hint="eastAsia" w:ascii="Times New Roman" w:hAnsi="Times New Roman"/>
          <w:color w:val="auto"/>
          <w:szCs w:val="21"/>
        </w:rPr>
        <w:t>投标人必须按照《GA95—2007灭火器维修与报废章程》等国家标准和公安消防部门有关规定对甲方的灭火器进行维修换药，具体包括对灭火器进行水压测试，喷射性能检查，试压、调压、补充氮气，灭火器药剂的灌装及干粉的更换等。维修检验合格的灭火器应贴有标明维修单位及维修时间的灭火器维修合格证。</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lang w:eastAsia="zh-CN"/>
        </w:rPr>
        <w:t>（</w:t>
      </w:r>
      <w:r>
        <w:rPr>
          <w:rFonts w:hint="eastAsia" w:ascii="Times New Roman" w:hAnsi="Times New Roman"/>
          <w:color w:val="auto"/>
          <w:szCs w:val="21"/>
          <w:lang w:val="en-US" w:eastAsia="zh-CN"/>
        </w:rPr>
        <w:t>2</w:t>
      </w:r>
      <w:r>
        <w:rPr>
          <w:rFonts w:hint="eastAsia" w:ascii="Times New Roman" w:hAnsi="Times New Roman"/>
          <w:color w:val="auto"/>
          <w:szCs w:val="21"/>
          <w:lang w:eastAsia="zh-CN"/>
        </w:rPr>
        <w:t>）</w:t>
      </w:r>
      <w:r>
        <w:rPr>
          <w:rFonts w:hint="eastAsia" w:ascii="Times New Roman" w:hAnsi="Times New Roman"/>
          <w:color w:val="auto"/>
          <w:szCs w:val="21"/>
        </w:rPr>
        <w:t>投标人必须按照招标文件的具体要求维修灭火器，并负责免费将灭火器放置在指定区域。在灭火器封签完好的情况下，如有漏气现象，由投标人免费维修。质保期内由于灭火器质量问题给招标人带来的损失由投标人承担。</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lang w:eastAsia="zh-CN"/>
        </w:rPr>
        <w:t>（</w:t>
      </w:r>
      <w:r>
        <w:rPr>
          <w:rFonts w:hint="eastAsia" w:ascii="Times New Roman" w:hAnsi="Times New Roman"/>
          <w:color w:val="auto"/>
          <w:szCs w:val="21"/>
          <w:lang w:val="en-US" w:eastAsia="zh-CN"/>
        </w:rPr>
        <w:t>3</w:t>
      </w:r>
      <w:r>
        <w:rPr>
          <w:rFonts w:hint="eastAsia" w:ascii="Times New Roman" w:hAnsi="Times New Roman"/>
          <w:color w:val="auto"/>
          <w:szCs w:val="21"/>
          <w:lang w:eastAsia="zh-CN"/>
        </w:rPr>
        <w:t>）</w:t>
      </w:r>
      <w:r>
        <w:rPr>
          <w:rFonts w:hint="eastAsia" w:ascii="Times New Roman" w:hAnsi="Times New Roman"/>
          <w:color w:val="auto"/>
          <w:szCs w:val="21"/>
        </w:rPr>
        <w:t>在质保期内，投标人须保证各品种灌装药剂量足，两年内不漏气、不漏液、不堵塞，同时投标人应对灭火器所在消火栓箱箱体或灭火器箱箱体进行完好性检查，如有损坏应及时告知招标人。质保期内灭火器如发生质量问题由投标人免费维修更换。</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lang w:eastAsia="zh-CN"/>
        </w:rPr>
        <w:t>（</w:t>
      </w:r>
      <w:r>
        <w:rPr>
          <w:rFonts w:hint="eastAsia" w:ascii="Times New Roman" w:hAnsi="Times New Roman"/>
          <w:color w:val="auto"/>
          <w:szCs w:val="21"/>
          <w:lang w:val="en-US" w:eastAsia="zh-CN"/>
        </w:rPr>
        <w:t>4</w:t>
      </w:r>
      <w:r>
        <w:rPr>
          <w:rFonts w:hint="eastAsia" w:ascii="Times New Roman" w:hAnsi="Times New Roman"/>
          <w:color w:val="auto"/>
          <w:szCs w:val="21"/>
          <w:lang w:eastAsia="zh-CN"/>
        </w:rPr>
        <w:t>）</w:t>
      </w:r>
      <w:r>
        <w:rPr>
          <w:rFonts w:hint="eastAsia" w:ascii="Times New Roman" w:hAnsi="Times New Roman"/>
          <w:color w:val="auto"/>
          <w:szCs w:val="21"/>
        </w:rPr>
        <w:t>投标人免费负责所有维修换药灭火器的搬运工作，在搬运中出现的投标人人员人身及物品安全问题由投标人自行负责。</w:t>
      </w:r>
    </w:p>
    <w:p>
      <w:pPr>
        <w:spacing w:line="360" w:lineRule="auto"/>
        <w:rPr>
          <w:rFonts w:hint="eastAsia" w:ascii="Times New Roman" w:hAnsi="Times New Roman"/>
          <w:color w:val="auto"/>
          <w:szCs w:val="21"/>
        </w:rPr>
      </w:pPr>
      <w:r>
        <w:rPr>
          <w:b/>
          <w:color w:val="auto"/>
          <w:szCs w:val="21"/>
        </w:rPr>
        <w:t>3.</w:t>
      </w:r>
      <w:r>
        <w:rPr>
          <w:rFonts w:hint="eastAsia"/>
          <w:b/>
          <w:color w:val="auto"/>
          <w:szCs w:val="21"/>
          <w:lang w:val="en-US" w:eastAsia="zh-CN"/>
        </w:rPr>
        <w:t xml:space="preserve">2 </w:t>
      </w:r>
      <w:r>
        <w:rPr>
          <w:rFonts w:hint="eastAsia"/>
          <w:b/>
          <w:color w:val="auto"/>
          <w:szCs w:val="21"/>
          <w:lang w:eastAsia="zh-CN"/>
        </w:rPr>
        <w:t>管理要求</w:t>
      </w:r>
    </w:p>
    <w:p>
      <w:pPr>
        <w:spacing w:line="360" w:lineRule="auto"/>
        <w:ind w:firstLine="420" w:firstLineChars="200"/>
        <w:rPr>
          <w:rFonts w:hint="eastAsia"/>
          <w:color w:val="auto"/>
          <w:szCs w:val="21"/>
        </w:rPr>
      </w:pPr>
      <w:r>
        <w:rPr>
          <w:rFonts w:hint="eastAsia"/>
          <w:color w:val="auto"/>
          <w:szCs w:val="21"/>
          <w:lang w:eastAsia="zh-CN"/>
        </w:rPr>
        <w:t>（</w:t>
      </w:r>
      <w:r>
        <w:rPr>
          <w:rFonts w:hint="eastAsia"/>
          <w:color w:val="auto"/>
          <w:szCs w:val="21"/>
          <w:lang w:val="en-US" w:eastAsia="zh-CN"/>
        </w:rPr>
        <w:t>1</w:t>
      </w:r>
      <w:r>
        <w:rPr>
          <w:rFonts w:hint="eastAsia"/>
          <w:color w:val="auto"/>
          <w:szCs w:val="21"/>
          <w:lang w:eastAsia="zh-CN"/>
        </w:rPr>
        <w:t>）</w:t>
      </w:r>
      <w:r>
        <w:rPr>
          <w:rFonts w:hint="eastAsia"/>
          <w:color w:val="auto"/>
          <w:szCs w:val="21"/>
        </w:rPr>
        <w:t>本项目不得转包，中标单位派出的必须是有丰富经验的技术人员。</w:t>
      </w:r>
    </w:p>
    <w:p>
      <w:pPr>
        <w:spacing w:line="360" w:lineRule="auto"/>
        <w:ind w:firstLine="420" w:firstLineChars="200"/>
        <w:rPr>
          <w:rFonts w:hint="eastAsia"/>
          <w:color w:val="auto"/>
          <w:szCs w:val="21"/>
        </w:rPr>
      </w:pPr>
      <w:r>
        <w:rPr>
          <w:rFonts w:hint="eastAsia"/>
          <w:color w:val="auto"/>
          <w:szCs w:val="21"/>
          <w:lang w:eastAsia="zh-CN"/>
        </w:rPr>
        <w:t>（</w:t>
      </w:r>
      <w:r>
        <w:rPr>
          <w:rFonts w:hint="eastAsia"/>
          <w:color w:val="auto"/>
          <w:szCs w:val="21"/>
          <w:lang w:val="en-US" w:eastAsia="zh-CN"/>
        </w:rPr>
        <w:t>2</w:t>
      </w:r>
      <w:r>
        <w:rPr>
          <w:rFonts w:hint="eastAsia"/>
          <w:color w:val="auto"/>
          <w:szCs w:val="21"/>
          <w:lang w:eastAsia="zh-CN"/>
        </w:rPr>
        <w:t>）</w:t>
      </w:r>
      <w:r>
        <w:rPr>
          <w:rFonts w:hint="eastAsia"/>
          <w:color w:val="auto"/>
          <w:szCs w:val="21"/>
        </w:rPr>
        <w:t>搬运和维修过程中一定要注意安全，若出现安全事故，由投标人负责。</w:t>
      </w:r>
    </w:p>
    <w:p>
      <w:pPr>
        <w:spacing w:line="360" w:lineRule="auto"/>
        <w:ind w:firstLine="420" w:firstLineChars="200"/>
        <w:rPr>
          <w:rFonts w:hint="eastAsia"/>
          <w:color w:val="auto"/>
          <w:szCs w:val="21"/>
        </w:rPr>
      </w:pPr>
      <w:r>
        <w:rPr>
          <w:rFonts w:hint="eastAsia"/>
          <w:color w:val="auto"/>
          <w:szCs w:val="21"/>
          <w:lang w:eastAsia="zh-CN"/>
        </w:rPr>
        <w:t>（</w:t>
      </w:r>
      <w:r>
        <w:rPr>
          <w:rFonts w:hint="eastAsia"/>
          <w:color w:val="auto"/>
          <w:szCs w:val="21"/>
          <w:lang w:val="en-US" w:eastAsia="zh-CN"/>
        </w:rPr>
        <w:t>3</w:t>
      </w:r>
      <w:r>
        <w:rPr>
          <w:rFonts w:hint="eastAsia"/>
          <w:color w:val="auto"/>
          <w:szCs w:val="21"/>
          <w:lang w:eastAsia="zh-CN"/>
        </w:rPr>
        <w:t>）</w:t>
      </w:r>
      <w:r>
        <w:rPr>
          <w:rFonts w:hint="eastAsia"/>
          <w:color w:val="auto"/>
          <w:szCs w:val="21"/>
        </w:rPr>
        <w:t>投标人必须保证现场的环境卫生，不能破坏学校的公共财产，搬运结束后，现场应恢复如初，所有垃圾需运出校外。</w:t>
      </w:r>
    </w:p>
    <w:p>
      <w:pPr>
        <w:spacing w:line="360" w:lineRule="auto"/>
        <w:rPr>
          <w:rFonts w:hint="eastAsia" w:ascii="Times New Roman" w:hAnsi="Times New Roman"/>
          <w:color w:val="auto"/>
          <w:szCs w:val="21"/>
        </w:rPr>
      </w:pPr>
      <w:r>
        <w:rPr>
          <w:b/>
          <w:color w:val="auto"/>
          <w:szCs w:val="21"/>
        </w:rPr>
        <w:t>3.</w:t>
      </w:r>
      <w:r>
        <w:rPr>
          <w:rFonts w:hint="eastAsia"/>
          <w:b/>
          <w:color w:val="auto"/>
          <w:szCs w:val="21"/>
          <w:lang w:val="en-US" w:eastAsia="zh-CN"/>
        </w:rPr>
        <w:t xml:space="preserve">3 </w:t>
      </w:r>
      <w:r>
        <w:rPr>
          <w:rFonts w:hint="eastAsia"/>
          <w:b/>
          <w:color w:val="auto"/>
          <w:szCs w:val="21"/>
          <w:lang w:eastAsia="zh-CN"/>
        </w:rPr>
        <w:t>项目清单（请在投标文件中填报完整）</w:t>
      </w:r>
    </w:p>
    <w:p>
      <w:pPr>
        <w:spacing w:line="360" w:lineRule="auto"/>
        <w:jc w:val="center"/>
        <w:rPr>
          <w:rFonts w:hint="eastAsia"/>
          <w:b/>
          <w:bCs/>
          <w:color w:val="auto"/>
          <w:szCs w:val="21"/>
        </w:rPr>
      </w:pPr>
    </w:p>
    <w:p>
      <w:pPr>
        <w:spacing w:line="360" w:lineRule="auto"/>
        <w:jc w:val="center"/>
        <w:rPr>
          <w:rFonts w:hint="eastAsia"/>
          <w:color w:val="auto"/>
          <w:szCs w:val="21"/>
        </w:rPr>
      </w:pPr>
      <w:r>
        <w:rPr>
          <w:rFonts w:hint="eastAsia"/>
          <w:b/>
          <w:bCs/>
          <w:color w:val="auto"/>
          <w:szCs w:val="21"/>
        </w:rPr>
        <w:t>江苏开放大学灭火器维修换药报价单</w:t>
      </w:r>
    </w:p>
    <w:tbl>
      <w:tblPr>
        <w:tblStyle w:val="35"/>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94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spacing w:line="360" w:lineRule="auto"/>
              <w:jc w:val="center"/>
              <w:rPr>
                <w:rFonts w:hint="eastAsia" w:eastAsia="宋体"/>
                <w:color w:val="auto"/>
                <w:sz w:val="21"/>
                <w:szCs w:val="21"/>
                <w:lang w:eastAsia="zh-CN"/>
              </w:rPr>
            </w:pPr>
            <w:r>
              <w:rPr>
                <w:rFonts w:hint="eastAsia"/>
                <w:color w:val="auto"/>
                <w:sz w:val="21"/>
                <w:szCs w:val="21"/>
                <w:lang w:eastAsia="zh-CN"/>
              </w:rPr>
              <w:t>放置地点</w:t>
            </w:r>
          </w:p>
        </w:tc>
        <w:tc>
          <w:tcPr>
            <w:tcW w:w="1704" w:type="dxa"/>
            <w:vAlign w:val="center"/>
          </w:tcPr>
          <w:p>
            <w:pPr>
              <w:spacing w:line="360" w:lineRule="auto"/>
              <w:jc w:val="center"/>
              <w:rPr>
                <w:rFonts w:hint="eastAsia"/>
                <w:color w:val="auto"/>
                <w:sz w:val="21"/>
                <w:szCs w:val="21"/>
              </w:rPr>
            </w:pPr>
            <w:r>
              <w:rPr>
                <w:rFonts w:hint="eastAsia"/>
                <w:color w:val="auto"/>
                <w:sz w:val="21"/>
                <w:szCs w:val="21"/>
              </w:rPr>
              <w:t>规格型号</w:t>
            </w:r>
          </w:p>
        </w:tc>
        <w:tc>
          <w:tcPr>
            <w:tcW w:w="1704" w:type="dxa"/>
            <w:vAlign w:val="center"/>
          </w:tcPr>
          <w:p>
            <w:pPr>
              <w:spacing w:line="360" w:lineRule="auto"/>
              <w:jc w:val="center"/>
              <w:rPr>
                <w:rFonts w:hint="eastAsia"/>
                <w:color w:val="auto"/>
                <w:sz w:val="21"/>
                <w:szCs w:val="21"/>
              </w:rPr>
            </w:pPr>
            <w:r>
              <w:rPr>
                <w:rFonts w:hint="eastAsia"/>
                <w:color w:val="auto"/>
                <w:sz w:val="21"/>
                <w:szCs w:val="21"/>
              </w:rPr>
              <w:t>数量（具）</w:t>
            </w:r>
          </w:p>
        </w:tc>
        <w:tc>
          <w:tcPr>
            <w:tcW w:w="1942" w:type="dxa"/>
            <w:vAlign w:val="center"/>
          </w:tcPr>
          <w:p>
            <w:pPr>
              <w:spacing w:line="360" w:lineRule="auto"/>
              <w:jc w:val="center"/>
              <w:rPr>
                <w:rFonts w:hint="eastAsia"/>
                <w:color w:val="auto"/>
                <w:sz w:val="21"/>
                <w:szCs w:val="21"/>
              </w:rPr>
            </w:pPr>
            <w:r>
              <w:rPr>
                <w:rFonts w:hint="eastAsia"/>
                <w:color w:val="auto"/>
                <w:sz w:val="21"/>
                <w:szCs w:val="21"/>
              </w:rPr>
              <w:t>单价（元）</w:t>
            </w:r>
          </w:p>
        </w:tc>
        <w:tc>
          <w:tcPr>
            <w:tcW w:w="1843" w:type="dxa"/>
            <w:vAlign w:val="center"/>
          </w:tcPr>
          <w:p>
            <w:pPr>
              <w:spacing w:line="360" w:lineRule="auto"/>
              <w:jc w:val="center"/>
              <w:rPr>
                <w:rFonts w:hint="eastAsia"/>
                <w:color w:val="auto"/>
                <w:sz w:val="21"/>
                <w:szCs w:val="21"/>
              </w:rPr>
            </w:pPr>
            <w:r>
              <w:rPr>
                <w:rFonts w:hint="eastAsia"/>
                <w:color w:val="auto"/>
                <w:sz w:val="21"/>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restart"/>
            <w:vAlign w:val="center"/>
          </w:tcPr>
          <w:p>
            <w:pPr>
              <w:spacing w:line="360" w:lineRule="auto"/>
              <w:jc w:val="center"/>
              <w:rPr>
                <w:rFonts w:hint="eastAsia"/>
                <w:color w:val="auto"/>
                <w:sz w:val="21"/>
                <w:szCs w:val="21"/>
              </w:rPr>
            </w:pPr>
            <w:r>
              <w:rPr>
                <w:rFonts w:hint="eastAsia"/>
                <w:color w:val="auto"/>
                <w:sz w:val="21"/>
                <w:szCs w:val="21"/>
                <w:lang w:eastAsia="zh-CN"/>
              </w:rPr>
              <w:t>应天</w:t>
            </w:r>
            <w:r>
              <w:rPr>
                <w:rFonts w:hint="eastAsia"/>
                <w:color w:val="auto"/>
                <w:sz w:val="21"/>
                <w:szCs w:val="21"/>
              </w:rPr>
              <w:t>校区</w:t>
            </w:r>
          </w:p>
        </w:tc>
        <w:tc>
          <w:tcPr>
            <w:tcW w:w="1704" w:type="dxa"/>
            <w:vAlign w:val="center"/>
          </w:tcPr>
          <w:p>
            <w:pPr>
              <w:spacing w:line="360" w:lineRule="auto"/>
              <w:jc w:val="center"/>
              <w:rPr>
                <w:rFonts w:hint="eastAsia"/>
                <w:color w:val="auto"/>
                <w:sz w:val="21"/>
                <w:szCs w:val="21"/>
              </w:rPr>
            </w:pPr>
            <w:r>
              <w:rPr>
                <w:rFonts w:hint="eastAsia"/>
                <w:color w:val="auto"/>
                <w:sz w:val="21"/>
                <w:szCs w:val="21"/>
              </w:rPr>
              <w:t>3KG干粉</w:t>
            </w:r>
          </w:p>
        </w:tc>
        <w:tc>
          <w:tcPr>
            <w:tcW w:w="1704" w:type="dxa"/>
            <w:vAlign w:val="center"/>
          </w:tcPr>
          <w:p>
            <w:pPr>
              <w:spacing w:line="360" w:lineRule="auto"/>
              <w:jc w:val="center"/>
              <w:rPr>
                <w:rFonts w:hint="eastAsia"/>
                <w:color w:val="auto"/>
                <w:sz w:val="21"/>
                <w:szCs w:val="21"/>
              </w:rPr>
            </w:pPr>
            <w:r>
              <w:rPr>
                <w:rFonts w:hint="eastAsia"/>
                <w:color w:val="auto"/>
                <w:sz w:val="21"/>
                <w:szCs w:val="21"/>
              </w:rPr>
              <w:t>575</w:t>
            </w:r>
          </w:p>
        </w:tc>
        <w:tc>
          <w:tcPr>
            <w:tcW w:w="1942" w:type="dxa"/>
            <w:vAlign w:val="center"/>
          </w:tcPr>
          <w:p>
            <w:pPr>
              <w:spacing w:line="360" w:lineRule="auto"/>
              <w:jc w:val="center"/>
              <w:rPr>
                <w:rFonts w:hint="eastAsia"/>
                <w:color w:val="auto"/>
                <w:sz w:val="21"/>
                <w:szCs w:val="21"/>
              </w:rPr>
            </w:pPr>
          </w:p>
        </w:tc>
        <w:tc>
          <w:tcPr>
            <w:tcW w:w="1843" w:type="dxa"/>
            <w:vAlign w:val="center"/>
          </w:tcPr>
          <w:p>
            <w:pPr>
              <w:spacing w:line="360" w:lineRule="auto"/>
              <w:jc w:val="cente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vAlign w:val="center"/>
          </w:tcPr>
          <w:p>
            <w:pPr>
              <w:spacing w:line="360" w:lineRule="auto"/>
              <w:jc w:val="center"/>
              <w:rPr>
                <w:rFonts w:hint="eastAsia"/>
                <w:color w:val="auto"/>
                <w:sz w:val="21"/>
                <w:szCs w:val="21"/>
              </w:rPr>
            </w:pPr>
          </w:p>
        </w:tc>
        <w:tc>
          <w:tcPr>
            <w:tcW w:w="1704" w:type="dxa"/>
            <w:vAlign w:val="center"/>
          </w:tcPr>
          <w:p>
            <w:pPr>
              <w:spacing w:line="360" w:lineRule="auto"/>
              <w:jc w:val="center"/>
              <w:rPr>
                <w:rFonts w:hint="eastAsia"/>
                <w:color w:val="auto"/>
                <w:sz w:val="21"/>
                <w:szCs w:val="21"/>
              </w:rPr>
            </w:pPr>
            <w:r>
              <w:rPr>
                <w:rFonts w:hint="eastAsia"/>
                <w:color w:val="auto"/>
                <w:sz w:val="21"/>
                <w:szCs w:val="21"/>
              </w:rPr>
              <w:t>4 KG干粉</w:t>
            </w:r>
          </w:p>
        </w:tc>
        <w:tc>
          <w:tcPr>
            <w:tcW w:w="1704" w:type="dxa"/>
            <w:vAlign w:val="center"/>
          </w:tcPr>
          <w:p>
            <w:pPr>
              <w:spacing w:line="360" w:lineRule="auto"/>
              <w:jc w:val="center"/>
              <w:rPr>
                <w:rFonts w:hint="eastAsia"/>
                <w:color w:val="auto"/>
                <w:sz w:val="21"/>
                <w:szCs w:val="21"/>
              </w:rPr>
            </w:pPr>
            <w:r>
              <w:rPr>
                <w:rFonts w:hint="eastAsia"/>
                <w:color w:val="auto"/>
                <w:sz w:val="21"/>
                <w:szCs w:val="21"/>
              </w:rPr>
              <w:t>402</w:t>
            </w:r>
          </w:p>
        </w:tc>
        <w:tc>
          <w:tcPr>
            <w:tcW w:w="1942" w:type="dxa"/>
            <w:vAlign w:val="center"/>
          </w:tcPr>
          <w:p>
            <w:pPr>
              <w:spacing w:line="360" w:lineRule="auto"/>
              <w:jc w:val="center"/>
              <w:rPr>
                <w:rFonts w:hint="eastAsia"/>
                <w:color w:val="auto"/>
                <w:sz w:val="21"/>
                <w:szCs w:val="21"/>
              </w:rPr>
            </w:pPr>
          </w:p>
        </w:tc>
        <w:tc>
          <w:tcPr>
            <w:tcW w:w="1843" w:type="dxa"/>
            <w:vAlign w:val="center"/>
          </w:tcPr>
          <w:p>
            <w:pPr>
              <w:spacing w:line="360" w:lineRule="auto"/>
              <w:jc w:val="cente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vAlign w:val="center"/>
          </w:tcPr>
          <w:p>
            <w:pPr>
              <w:spacing w:line="360" w:lineRule="auto"/>
              <w:jc w:val="center"/>
              <w:rPr>
                <w:rFonts w:hint="eastAsia"/>
                <w:color w:val="auto"/>
                <w:sz w:val="21"/>
                <w:szCs w:val="21"/>
              </w:rPr>
            </w:pPr>
          </w:p>
        </w:tc>
        <w:tc>
          <w:tcPr>
            <w:tcW w:w="1704" w:type="dxa"/>
            <w:vAlign w:val="center"/>
          </w:tcPr>
          <w:p>
            <w:pPr>
              <w:spacing w:line="360" w:lineRule="auto"/>
              <w:jc w:val="center"/>
              <w:rPr>
                <w:rFonts w:hint="eastAsia"/>
                <w:color w:val="auto"/>
                <w:sz w:val="21"/>
                <w:szCs w:val="21"/>
              </w:rPr>
            </w:pPr>
            <w:r>
              <w:rPr>
                <w:rFonts w:hint="eastAsia"/>
                <w:color w:val="auto"/>
                <w:sz w:val="21"/>
                <w:szCs w:val="21"/>
              </w:rPr>
              <w:t>15KG干粉</w:t>
            </w:r>
          </w:p>
        </w:tc>
        <w:tc>
          <w:tcPr>
            <w:tcW w:w="1704" w:type="dxa"/>
            <w:vAlign w:val="center"/>
          </w:tcPr>
          <w:p>
            <w:pPr>
              <w:spacing w:line="360" w:lineRule="auto"/>
              <w:jc w:val="center"/>
              <w:rPr>
                <w:rFonts w:hint="eastAsia"/>
                <w:color w:val="auto"/>
                <w:sz w:val="21"/>
                <w:szCs w:val="21"/>
              </w:rPr>
            </w:pPr>
            <w:r>
              <w:rPr>
                <w:rFonts w:hint="eastAsia"/>
                <w:color w:val="auto"/>
                <w:sz w:val="21"/>
                <w:szCs w:val="21"/>
              </w:rPr>
              <w:t>2</w:t>
            </w:r>
          </w:p>
        </w:tc>
        <w:tc>
          <w:tcPr>
            <w:tcW w:w="1942" w:type="dxa"/>
            <w:vAlign w:val="center"/>
          </w:tcPr>
          <w:p>
            <w:pPr>
              <w:spacing w:line="360" w:lineRule="auto"/>
              <w:jc w:val="center"/>
              <w:rPr>
                <w:rFonts w:hint="eastAsia"/>
                <w:color w:val="auto"/>
                <w:sz w:val="21"/>
                <w:szCs w:val="21"/>
              </w:rPr>
            </w:pPr>
          </w:p>
        </w:tc>
        <w:tc>
          <w:tcPr>
            <w:tcW w:w="1843" w:type="dxa"/>
            <w:vAlign w:val="center"/>
          </w:tcPr>
          <w:p>
            <w:pPr>
              <w:spacing w:line="360" w:lineRule="auto"/>
              <w:jc w:val="cente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restart"/>
            <w:vAlign w:val="center"/>
          </w:tcPr>
          <w:p>
            <w:pPr>
              <w:spacing w:line="360" w:lineRule="auto"/>
              <w:jc w:val="center"/>
              <w:rPr>
                <w:rFonts w:hint="eastAsia"/>
                <w:color w:val="auto"/>
                <w:sz w:val="21"/>
                <w:szCs w:val="21"/>
              </w:rPr>
            </w:pPr>
            <w:r>
              <w:rPr>
                <w:rFonts w:hint="eastAsia"/>
                <w:color w:val="auto"/>
                <w:sz w:val="21"/>
                <w:szCs w:val="21"/>
              </w:rPr>
              <w:t>定淮门东校区</w:t>
            </w:r>
          </w:p>
        </w:tc>
        <w:tc>
          <w:tcPr>
            <w:tcW w:w="1704" w:type="dxa"/>
            <w:vAlign w:val="center"/>
          </w:tcPr>
          <w:p>
            <w:pPr>
              <w:spacing w:line="360" w:lineRule="auto"/>
              <w:jc w:val="center"/>
              <w:rPr>
                <w:rFonts w:hint="eastAsia"/>
                <w:color w:val="auto"/>
                <w:sz w:val="21"/>
                <w:szCs w:val="21"/>
              </w:rPr>
            </w:pPr>
            <w:r>
              <w:rPr>
                <w:rFonts w:hint="eastAsia"/>
                <w:color w:val="auto"/>
                <w:sz w:val="21"/>
                <w:szCs w:val="21"/>
              </w:rPr>
              <w:t>4KG干粉</w:t>
            </w:r>
          </w:p>
        </w:tc>
        <w:tc>
          <w:tcPr>
            <w:tcW w:w="1704" w:type="dxa"/>
            <w:vAlign w:val="center"/>
          </w:tcPr>
          <w:p>
            <w:pPr>
              <w:spacing w:line="360" w:lineRule="auto"/>
              <w:jc w:val="center"/>
              <w:rPr>
                <w:rFonts w:hint="eastAsia"/>
                <w:color w:val="auto"/>
                <w:sz w:val="21"/>
                <w:szCs w:val="21"/>
              </w:rPr>
            </w:pPr>
            <w:r>
              <w:rPr>
                <w:rFonts w:hint="eastAsia"/>
                <w:color w:val="auto"/>
                <w:sz w:val="21"/>
                <w:szCs w:val="21"/>
              </w:rPr>
              <w:t>787</w:t>
            </w:r>
          </w:p>
        </w:tc>
        <w:tc>
          <w:tcPr>
            <w:tcW w:w="1942" w:type="dxa"/>
            <w:vAlign w:val="center"/>
          </w:tcPr>
          <w:p>
            <w:pPr>
              <w:spacing w:line="360" w:lineRule="auto"/>
              <w:jc w:val="center"/>
              <w:rPr>
                <w:rFonts w:hint="eastAsia"/>
                <w:color w:val="auto"/>
                <w:sz w:val="21"/>
                <w:szCs w:val="21"/>
              </w:rPr>
            </w:pPr>
          </w:p>
        </w:tc>
        <w:tc>
          <w:tcPr>
            <w:tcW w:w="1843" w:type="dxa"/>
            <w:vAlign w:val="center"/>
          </w:tcPr>
          <w:p>
            <w:pPr>
              <w:spacing w:line="360" w:lineRule="auto"/>
              <w:jc w:val="cente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vAlign w:val="center"/>
          </w:tcPr>
          <w:p>
            <w:pPr>
              <w:spacing w:line="360" w:lineRule="auto"/>
              <w:jc w:val="center"/>
              <w:rPr>
                <w:rFonts w:hint="eastAsia"/>
                <w:color w:val="auto"/>
                <w:sz w:val="21"/>
                <w:szCs w:val="21"/>
              </w:rPr>
            </w:pPr>
          </w:p>
        </w:tc>
        <w:tc>
          <w:tcPr>
            <w:tcW w:w="1704" w:type="dxa"/>
            <w:vAlign w:val="center"/>
          </w:tcPr>
          <w:p>
            <w:pPr>
              <w:spacing w:line="360" w:lineRule="auto"/>
              <w:jc w:val="center"/>
              <w:rPr>
                <w:rFonts w:hint="eastAsia"/>
                <w:color w:val="auto"/>
                <w:sz w:val="21"/>
                <w:szCs w:val="21"/>
              </w:rPr>
            </w:pPr>
            <w:r>
              <w:rPr>
                <w:rFonts w:hint="eastAsia"/>
                <w:color w:val="auto"/>
                <w:sz w:val="21"/>
                <w:szCs w:val="21"/>
              </w:rPr>
              <w:t>15 KG干粉</w:t>
            </w:r>
          </w:p>
        </w:tc>
        <w:tc>
          <w:tcPr>
            <w:tcW w:w="1704" w:type="dxa"/>
            <w:vAlign w:val="center"/>
          </w:tcPr>
          <w:p>
            <w:pPr>
              <w:spacing w:line="360" w:lineRule="auto"/>
              <w:jc w:val="center"/>
              <w:rPr>
                <w:rFonts w:hint="eastAsia"/>
                <w:color w:val="auto"/>
                <w:sz w:val="21"/>
                <w:szCs w:val="21"/>
              </w:rPr>
            </w:pPr>
            <w:r>
              <w:rPr>
                <w:rFonts w:hint="eastAsia"/>
                <w:color w:val="auto"/>
                <w:sz w:val="21"/>
                <w:szCs w:val="21"/>
              </w:rPr>
              <w:t>3</w:t>
            </w:r>
          </w:p>
        </w:tc>
        <w:tc>
          <w:tcPr>
            <w:tcW w:w="1942" w:type="dxa"/>
            <w:vAlign w:val="center"/>
          </w:tcPr>
          <w:p>
            <w:pPr>
              <w:spacing w:line="360" w:lineRule="auto"/>
              <w:jc w:val="center"/>
              <w:rPr>
                <w:rFonts w:hint="eastAsia"/>
                <w:color w:val="auto"/>
                <w:sz w:val="21"/>
                <w:szCs w:val="21"/>
              </w:rPr>
            </w:pPr>
          </w:p>
        </w:tc>
        <w:tc>
          <w:tcPr>
            <w:tcW w:w="1843" w:type="dxa"/>
            <w:vAlign w:val="center"/>
          </w:tcPr>
          <w:p>
            <w:pPr>
              <w:spacing w:line="360" w:lineRule="auto"/>
              <w:jc w:val="cente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restart"/>
            <w:vAlign w:val="center"/>
          </w:tcPr>
          <w:p>
            <w:pPr>
              <w:spacing w:line="360" w:lineRule="auto"/>
              <w:jc w:val="center"/>
              <w:rPr>
                <w:rFonts w:hint="eastAsia"/>
                <w:color w:val="auto"/>
                <w:sz w:val="21"/>
                <w:szCs w:val="21"/>
              </w:rPr>
            </w:pPr>
            <w:r>
              <w:rPr>
                <w:rFonts w:hint="eastAsia"/>
                <w:color w:val="auto"/>
                <w:sz w:val="21"/>
                <w:szCs w:val="21"/>
              </w:rPr>
              <w:t>本部大楼</w:t>
            </w:r>
          </w:p>
        </w:tc>
        <w:tc>
          <w:tcPr>
            <w:tcW w:w="1704" w:type="dxa"/>
            <w:vAlign w:val="center"/>
          </w:tcPr>
          <w:p>
            <w:pPr>
              <w:spacing w:line="360" w:lineRule="auto"/>
              <w:jc w:val="center"/>
              <w:rPr>
                <w:rFonts w:hint="eastAsia"/>
                <w:color w:val="auto"/>
                <w:sz w:val="21"/>
                <w:szCs w:val="21"/>
              </w:rPr>
            </w:pPr>
            <w:r>
              <w:rPr>
                <w:rFonts w:hint="eastAsia"/>
                <w:color w:val="auto"/>
                <w:sz w:val="21"/>
                <w:szCs w:val="21"/>
              </w:rPr>
              <w:t>4KG干粉</w:t>
            </w:r>
          </w:p>
        </w:tc>
        <w:tc>
          <w:tcPr>
            <w:tcW w:w="1704" w:type="dxa"/>
            <w:vAlign w:val="center"/>
          </w:tcPr>
          <w:p>
            <w:pPr>
              <w:spacing w:line="360" w:lineRule="auto"/>
              <w:jc w:val="center"/>
              <w:rPr>
                <w:rFonts w:hint="eastAsia"/>
                <w:color w:val="auto"/>
                <w:sz w:val="21"/>
                <w:szCs w:val="21"/>
              </w:rPr>
            </w:pPr>
            <w:r>
              <w:rPr>
                <w:rFonts w:hint="eastAsia"/>
                <w:color w:val="auto"/>
                <w:sz w:val="21"/>
                <w:szCs w:val="21"/>
              </w:rPr>
              <w:t>350</w:t>
            </w:r>
          </w:p>
        </w:tc>
        <w:tc>
          <w:tcPr>
            <w:tcW w:w="1942" w:type="dxa"/>
            <w:vAlign w:val="center"/>
          </w:tcPr>
          <w:p>
            <w:pPr>
              <w:spacing w:line="360" w:lineRule="auto"/>
              <w:jc w:val="center"/>
              <w:rPr>
                <w:rFonts w:hint="eastAsia"/>
                <w:color w:val="auto"/>
                <w:sz w:val="21"/>
                <w:szCs w:val="21"/>
              </w:rPr>
            </w:pPr>
          </w:p>
        </w:tc>
        <w:tc>
          <w:tcPr>
            <w:tcW w:w="1843" w:type="dxa"/>
            <w:vAlign w:val="center"/>
          </w:tcPr>
          <w:p>
            <w:pPr>
              <w:spacing w:line="360" w:lineRule="auto"/>
              <w:jc w:val="cente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vAlign w:val="center"/>
          </w:tcPr>
          <w:p>
            <w:pPr>
              <w:spacing w:line="360" w:lineRule="auto"/>
              <w:jc w:val="center"/>
              <w:rPr>
                <w:rFonts w:hint="eastAsia"/>
                <w:color w:val="auto"/>
                <w:sz w:val="21"/>
                <w:szCs w:val="21"/>
              </w:rPr>
            </w:pPr>
          </w:p>
        </w:tc>
        <w:tc>
          <w:tcPr>
            <w:tcW w:w="1704" w:type="dxa"/>
            <w:vAlign w:val="center"/>
          </w:tcPr>
          <w:p>
            <w:pPr>
              <w:spacing w:line="360" w:lineRule="auto"/>
              <w:jc w:val="center"/>
              <w:rPr>
                <w:rFonts w:hint="eastAsia"/>
                <w:color w:val="auto"/>
                <w:sz w:val="21"/>
                <w:szCs w:val="21"/>
              </w:rPr>
            </w:pPr>
            <w:r>
              <w:rPr>
                <w:rFonts w:hint="eastAsia"/>
                <w:color w:val="auto"/>
                <w:sz w:val="21"/>
                <w:szCs w:val="21"/>
              </w:rPr>
              <w:t>15KG干粉</w:t>
            </w:r>
          </w:p>
        </w:tc>
        <w:tc>
          <w:tcPr>
            <w:tcW w:w="1704" w:type="dxa"/>
            <w:vAlign w:val="center"/>
          </w:tcPr>
          <w:p>
            <w:pPr>
              <w:spacing w:line="360" w:lineRule="auto"/>
              <w:jc w:val="center"/>
              <w:rPr>
                <w:rFonts w:hint="eastAsia"/>
                <w:color w:val="auto"/>
                <w:sz w:val="21"/>
                <w:szCs w:val="21"/>
              </w:rPr>
            </w:pPr>
            <w:r>
              <w:rPr>
                <w:rFonts w:hint="eastAsia"/>
                <w:color w:val="auto"/>
                <w:sz w:val="21"/>
                <w:szCs w:val="21"/>
              </w:rPr>
              <w:t>4</w:t>
            </w:r>
          </w:p>
        </w:tc>
        <w:tc>
          <w:tcPr>
            <w:tcW w:w="1942" w:type="dxa"/>
            <w:vAlign w:val="center"/>
          </w:tcPr>
          <w:p>
            <w:pPr>
              <w:spacing w:line="360" w:lineRule="auto"/>
              <w:jc w:val="center"/>
              <w:rPr>
                <w:rFonts w:hint="eastAsia"/>
                <w:color w:val="auto"/>
                <w:sz w:val="21"/>
                <w:szCs w:val="21"/>
              </w:rPr>
            </w:pPr>
          </w:p>
        </w:tc>
        <w:tc>
          <w:tcPr>
            <w:tcW w:w="1843" w:type="dxa"/>
            <w:vAlign w:val="center"/>
          </w:tcPr>
          <w:p>
            <w:pPr>
              <w:spacing w:line="360" w:lineRule="auto"/>
              <w:jc w:val="cente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4" w:type="dxa"/>
            <w:gridSpan w:val="4"/>
            <w:vAlign w:val="center"/>
          </w:tcPr>
          <w:p>
            <w:pPr>
              <w:spacing w:line="360" w:lineRule="auto"/>
              <w:jc w:val="center"/>
              <w:rPr>
                <w:rFonts w:hint="eastAsia"/>
                <w:color w:val="auto"/>
                <w:sz w:val="21"/>
                <w:szCs w:val="21"/>
              </w:rPr>
            </w:pPr>
            <w:r>
              <w:rPr>
                <w:rFonts w:hint="eastAsia"/>
                <w:color w:val="auto"/>
                <w:sz w:val="21"/>
                <w:szCs w:val="21"/>
              </w:rPr>
              <w:t>总计（元）</w:t>
            </w:r>
          </w:p>
        </w:tc>
        <w:tc>
          <w:tcPr>
            <w:tcW w:w="1843" w:type="dxa"/>
            <w:vAlign w:val="center"/>
          </w:tcPr>
          <w:p>
            <w:pPr>
              <w:spacing w:line="360" w:lineRule="auto"/>
              <w:jc w:val="center"/>
              <w:rPr>
                <w:rFonts w:hint="eastAsia"/>
                <w:color w:val="auto"/>
                <w:sz w:val="21"/>
                <w:szCs w:val="21"/>
              </w:rPr>
            </w:pPr>
          </w:p>
        </w:tc>
      </w:tr>
    </w:tbl>
    <w:p>
      <w:pPr>
        <w:spacing w:line="360" w:lineRule="auto"/>
        <w:ind w:firstLine="420" w:firstLineChars="200"/>
        <w:rPr>
          <w:color w:val="auto"/>
          <w:szCs w:val="21"/>
        </w:rPr>
      </w:pPr>
    </w:p>
    <w:p>
      <w:pPr>
        <w:spacing w:line="360" w:lineRule="auto"/>
        <w:ind w:firstLine="420" w:firstLineChars="200"/>
        <w:rPr>
          <w:color w:val="auto"/>
          <w:szCs w:val="21"/>
        </w:rPr>
      </w:pPr>
    </w:p>
    <w:p>
      <w:pPr>
        <w:spacing w:line="360" w:lineRule="auto"/>
        <w:ind w:firstLine="420" w:firstLineChars="200"/>
        <w:rPr>
          <w:color w:val="auto"/>
          <w:szCs w:val="21"/>
        </w:rPr>
      </w:pPr>
    </w:p>
    <w:p>
      <w:pPr>
        <w:spacing w:line="360" w:lineRule="auto"/>
        <w:ind w:firstLine="420" w:firstLineChars="200"/>
        <w:rPr>
          <w:color w:val="auto"/>
          <w:szCs w:val="21"/>
        </w:rPr>
      </w:pPr>
    </w:p>
    <w:p>
      <w:pPr>
        <w:spacing w:line="360" w:lineRule="auto"/>
        <w:ind w:firstLine="420" w:firstLineChars="200"/>
        <w:rPr>
          <w:color w:val="auto"/>
          <w:szCs w:val="21"/>
        </w:rPr>
      </w:pPr>
    </w:p>
    <w:p>
      <w:pPr>
        <w:spacing w:line="360" w:lineRule="auto"/>
        <w:ind w:firstLine="420" w:firstLineChars="200"/>
        <w:rPr>
          <w:color w:val="auto"/>
          <w:szCs w:val="21"/>
        </w:rPr>
      </w:pPr>
    </w:p>
    <w:p>
      <w:pPr>
        <w:spacing w:line="360" w:lineRule="auto"/>
        <w:ind w:firstLine="420" w:firstLineChars="200"/>
        <w:rPr>
          <w:color w:val="auto"/>
          <w:szCs w:val="21"/>
        </w:rPr>
      </w:pPr>
    </w:p>
    <w:p>
      <w:pPr>
        <w:pStyle w:val="5"/>
        <w:jc w:val="center"/>
        <w:rPr>
          <w:rFonts w:ascii="Times New Roman" w:hAnsi="Times New Roman" w:eastAsia="楷体"/>
          <w:color w:val="auto"/>
          <w:sz w:val="44"/>
        </w:rPr>
      </w:pPr>
      <w:r>
        <w:rPr>
          <w:rFonts w:ascii="Times New Roman" w:hAnsi="Times New Roman" w:eastAsia="楷体"/>
          <w:color w:val="auto"/>
          <w:sz w:val="44"/>
        </w:rPr>
        <w:t>第四部分  合同主要条款</w:t>
      </w:r>
    </w:p>
    <w:p>
      <w:pPr>
        <w:rPr>
          <w:color w:val="auto"/>
        </w:rPr>
      </w:pP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b/>
          <w:bCs/>
          <w:color w:val="auto"/>
          <w:kern w:val="44"/>
          <w:sz w:val="44"/>
          <w:szCs w:val="44"/>
        </w:rPr>
        <w:sectPr>
          <w:pgSz w:w="11906" w:h="16838"/>
          <w:pgMar w:top="1440" w:right="1080" w:bottom="1440" w:left="1080" w:header="850" w:footer="850" w:gutter="0"/>
          <w:cols w:space="720" w:num="1"/>
          <w:docGrid w:type="lines" w:linePitch="312" w:charSpace="0"/>
        </w:sectPr>
      </w:pPr>
      <w:r>
        <w:rPr>
          <w:rFonts w:ascii="Times New Roman" w:hAnsi="Times New Roman"/>
          <w:color w:val="auto"/>
          <w:szCs w:val="21"/>
        </w:rPr>
        <w:t>2、以下为中标后签定本项目合同的主要条款，中标人不得提出实质性的修改，专用条款将由采购人与中标人结合本项目具体情况协商后签订。</w:t>
      </w:r>
    </w:p>
    <w:p>
      <w:pPr>
        <w:spacing w:line="360" w:lineRule="auto"/>
        <w:jc w:val="center"/>
        <w:rPr>
          <w:rFonts w:hint="eastAsia"/>
          <w:b/>
          <w:color w:val="auto"/>
          <w:sz w:val="48"/>
          <w:szCs w:val="48"/>
        </w:rPr>
      </w:pPr>
      <w:bookmarkStart w:id="38" w:name="hetongStart"/>
      <w:bookmarkEnd w:id="38"/>
      <w:bookmarkStart w:id="39" w:name="_Toc455914619"/>
      <w:r>
        <w:rPr>
          <w:rFonts w:hint="eastAsia"/>
          <w:b/>
          <w:color w:val="auto"/>
          <w:sz w:val="48"/>
          <w:szCs w:val="48"/>
        </w:rPr>
        <w:t>江苏开放大学灭火器维修换药合同</w:t>
      </w:r>
    </w:p>
    <w:p>
      <w:pPr>
        <w:spacing w:line="360" w:lineRule="auto"/>
        <w:jc w:val="center"/>
        <w:rPr>
          <w:rFonts w:hint="eastAsia"/>
          <w:b/>
          <w:color w:val="auto"/>
          <w:sz w:val="48"/>
          <w:szCs w:val="48"/>
        </w:rPr>
      </w:pPr>
    </w:p>
    <w:p>
      <w:pPr>
        <w:spacing w:line="440" w:lineRule="exact"/>
        <w:rPr>
          <w:rFonts w:hint="eastAsia"/>
          <w:color w:val="auto"/>
          <w:sz w:val="24"/>
        </w:rPr>
      </w:pPr>
      <w:r>
        <w:rPr>
          <w:rFonts w:hint="eastAsia"/>
          <w:color w:val="auto"/>
          <w:sz w:val="24"/>
        </w:rPr>
        <w:t>甲方：</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江苏开放大学</w:t>
      </w:r>
      <w:r>
        <w:rPr>
          <w:rFonts w:hint="eastAsia"/>
          <w:color w:val="auto"/>
          <w:sz w:val="24"/>
          <w:u w:val="single"/>
          <w:lang w:val="en-US" w:eastAsia="zh-CN"/>
        </w:rPr>
        <w:t xml:space="preserve">    </w:t>
      </w:r>
      <w:r>
        <w:rPr>
          <w:rFonts w:hint="eastAsia"/>
          <w:color w:val="auto"/>
          <w:sz w:val="24"/>
          <w:u w:val="single"/>
        </w:rPr>
        <w:t xml:space="preserve"> </w:t>
      </w:r>
    </w:p>
    <w:p>
      <w:pPr>
        <w:spacing w:line="440" w:lineRule="exact"/>
        <w:rPr>
          <w:rFonts w:hint="eastAsia"/>
          <w:color w:val="auto"/>
          <w:sz w:val="24"/>
        </w:rPr>
      </w:pPr>
      <w:r>
        <w:rPr>
          <w:rFonts w:hint="eastAsia"/>
          <w:color w:val="auto"/>
          <w:sz w:val="24"/>
        </w:rPr>
        <w:t>乙方：</w:t>
      </w:r>
      <w:r>
        <w:rPr>
          <w:rFonts w:hint="eastAsia"/>
          <w:color w:val="auto"/>
          <w:sz w:val="24"/>
          <w:u w:val="single"/>
        </w:rPr>
        <w:t xml:space="preserve">                      </w:t>
      </w:r>
    </w:p>
    <w:p>
      <w:pPr>
        <w:spacing w:line="440" w:lineRule="exact"/>
        <w:rPr>
          <w:rFonts w:hint="eastAsia"/>
          <w:color w:val="auto"/>
          <w:sz w:val="24"/>
        </w:rPr>
      </w:pPr>
      <w:r>
        <w:rPr>
          <w:rFonts w:hint="eastAsia"/>
          <w:color w:val="auto"/>
          <w:sz w:val="24"/>
        </w:rPr>
        <w:t>为保证消防器材的正常使用，甲方委托乙方对灭火器进行常规性检修换药，双方达成协议如下：</w:t>
      </w:r>
    </w:p>
    <w:p>
      <w:pPr>
        <w:numPr>
          <w:ilvl w:val="0"/>
          <w:numId w:val="6"/>
        </w:numPr>
        <w:spacing w:line="440" w:lineRule="exact"/>
        <w:rPr>
          <w:rFonts w:hint="eastAsia"/>
          <w:color w:val="auto"/>
          <w:sz w:val="24"/>
        </w:rPr>
      </w:pPr>
      <w:r>
        <w:rPr>
          <w:rFonts w:hint="eastAsia"/>
          <w:color w:val="auto"/>
          <w:sz w:val="24"/>
        </w:rPr>
        <w:t>甲方的责任和义务</w:t>
      </w:r>
    </w:p>
    <w:p>
      <w:pPr>
        <w:numPr>
          <w:ilvl w:val="0"/>
          <w:numId w:val="7"/>
        </w:numPr>
        <w:spacing w:line="440" w:lineRule="exact"/>
        <w:rPr>
          <w:rFonts w:hint="eastAsia"/>
          <w:color w:val="auto"/>
          <w:sz w:val="24"/>
        </w:rPr>
      </w:pPr>
      <w:r>
        <w:rPr>
          <w:rFonts w:hint="eastAsia"/>
          <w:color w:val="auto"/>
          <w:sz w:val="24"/>
        </w:rPr>
        <w:t>将有关灭火器的种类、数量和检修换药计划提前通知乙方。</w:t>
      </w:r>
    </w:p>
    <w:p>
      <w:pPr>
        <w:numPr>
          <w:ilvl w:val="0"/>
          <w:numId w:val="7"/>
        </w:numPr>
        <w:spacing w:line="440" w:lineRule="exact"/>
        <w:rPr>
          <w:rFonts w:hint="eastAsia"/>
          <w:color w:val="auto"/>
          <w:sz w:val="24"/>
        </w:rPr>
      </w:pPr>
      <w:r>
        <w:rPr>
          <w:rFonts w:hint="eastAsia"/>
          <w:color w:val="auto"/>
          <w:sz w:val="24"/>
        </w:rPr>
        <w:t>对检修换药后的灭火器当场进行验收。</w:t>
      </w:r>
    </w:p>
    <w:p>
      <w:pPr>
        <w:numPr>
          <w:ilvl w:val="0"/>
          <w:numId w:val="7"/>
        </w:numPr>
        <w:spacing w:line="440" w:lineRule="exact"/>
        <w:rPr>
          <w:rFonts w:hint="eastAsia"/>
          <w:color w:val="auto"/>
          <w:sz w:val="24"/>
        </w:rPr>
      </w:pPr>
      <w:r>
        <w:rPr>
          <w:rFonts w:hint="eastAsia"/>
          <w:color w:val="auto"/>
          <w:sz w:val="24"/>
        </w:rPr>
        <w:t>在质保期内，发现灭火器出现质量问题时，及时通知乙方维修。</w:t>
      </w:r>
    </w:p>
    <w:p>
      <w:pPr>
        <w:numPr>
          <w:ilvl w:val="0"/>
          <w:numId w:val="6"/>
        </w:numPr>
        <w:spacing w:line="440" w:lineRule="exact"/>
        <w:rPr>
          <w:rFonts w:hint="eastAsia"/>
          <w:color w:val="auto"/>
          <w:sz w:val="24"/>
        </w:rPr>
      </w:pPr>
      <w:r>
        <w:rPr>
          <w:rFonts w:hint="eastAsia"/>
          <w:color w:val="auto"/>
          <w:sz w:val="24"/>
        </w:rPr>
        <w:t>乙方的责任和义务</w:t>
      </w:r>
    </w:p>
    <w:p>
      <w:pPr>
        <w:numPr>
          <w:ilvl w:val="0"/>
          <w:numId w:val="8"/>
        </w:numPr>
        <w:spacing w:line="440" w:lineRule="exact"/>
        <w:rPr>
          <w:rFonts w:hint="eastAsia"/>
          <w:color w:val="auto"/>
          <w:sz w:val="24"/>
        </w:rPr>
      </w:pPr>
      <w:r>
        <w:rPr>
          <w:rFonts w:hint="eastAsia"/>
          <w:color w:val="auto"/>
          <w:sz w:val="24"/>
        </w:rPr>
        <w:t>乙方必须按照国家的有关标准进行灭火器的检修换药，严格质量管理，保证检修后的灭火器正常有效的使用。</w:t>
      </w:r>
    </w:p>
    <w:p>
      <w:pPr>
        <w:numPr>
          <w:ilvl w:val="0"/>
          <w:numId w:val="8"/>
        </w:numPr>
        <w:spacing w:line="440" w:lineRule="exact"/>
        <w:rPr>
          <w:rFonts w:hint="eastAsia"/>
          <w:color w:val="auto"/>
          <w:sz w:val="24"/>
        </w:rPr>
      </w:pPr>
      <w:r>
        <w:rPr>
          <w:rFonts w:hint="eastAsia"/>
          <w:color w:val="auto"/>
          <w:sz w:val="24"/>
        </w:rPr>
        <w:t>对验收合格后的灭火器实行两年的保质期，凡在保质期内，发现质量问题，免费负责维修。</w:t>
      </w:r>
    </w:p>
    <w:p>
      <w:pPr>
        <w:numPr>
          <w:ilvl w:val="0"/>
          <w:numId w:val="6"/>
        </w:numPr>
        <w:spacing w:line="440" w:lineRule="exact"/>
        <w:rPr>
          <w:rFonts w:hint="eastAsia"/>
          <w:color w:val="auto"/>
          <w:sz w:val="24"/>
        </w:rPr>
      </w:pPr>
      <w:r>
        <w:rPr>
          <w:rFonts w:hint="eastAsia"/>
          <w:color w:val="auto"/>
          <w:sz w:val="24"/>
        </w:rPr>
        <w:t>维修数量及价格</w:t>
      </w:r>
    </w:p>
    <w:p>
      <w:pPr>
        <w:spacing w:line="440" w:lineRule="exact"/>
        <w:rPr>
          <w:rFonts w:hint="eastAsia"/>
          <w:color w:val="auto"/>
          <w:sz w:val="24"/>
        </w:rPr>
      </w:pPr>
      <w:r>
        <w:rPr>
          <w:rFonts w:hint="eastAsia"/>
          <w:color w:val="auto"/>
          <w:sz w:val="24"/>
        </w:rPr>
        <w:t>1、</w:t>
      </w:r>
      <w:r>
        <w:rPr>
          <w:rFonts w:hint="eastAsia"/>
          <w:color w:val="auto"/>
          <w:sz w:val="24"/>
          <w:lang w:val="en-US" w:eastAsia="zh-CN"/>
        </w:rPr>
        <w:t>3</w:t>
      </w:r>
      <w:r>
        <w:rPr>
          <w:rFonts w:hint="eastAsia"/>
          <w:color w:val="auto"/>
          <w:sz w:val="24"/>
        </w:rPr>
        <w:t>kgABC干粉灭火器</w:t>
      </w:r>
      <w:r>
        <w:rPr>
          <w:rFonts w:hint="eastAsia"/>
          <w:color w:val="auto"/>
          <w:sz w:val="24"/>
          <w:u w:val="single"/>
        </w:rPr>
        <w:t xml:space="preserve">         </w:t>
      </w:r>
      <w:r>
        <w:rPr>
          <w:rFonts w:hint="eastAsia"/>
          <w:color w:val="auto"/>
          <w:sz w:val="24"/>
        </w:rPr>
        <w:t>具，单价</w:t>
      </w:r>
      <w:r>
        <w:rPr>
          <w:rFonts w:hint="eastAsia"/>
          <w:color w:val="auto"/>
          <w:sz w:val="24"/>
          <w:u w:val="single"/>
        </w:rPr>
        <w:t xml:space="preserve">        </w:t>
      </w:r>
      <w:r>
        <w:rPr>
          <w:rFonts w:hint="eastAsia"/>
          <w:color w:val="auto"/>
          <w:sz w:val="24"/>
        </w:rPr>
        <w:t>元，计</w:t>
      </w:r>
      <w:r>
        <w:rPr>
          <w:rFonts w:hint="eastAsia"/>
          <w:color w:val="auto"/>
          <w:sz w:val="24"/>
          <w:u w:val="single"/>
        </w:rPr>
        <w:t xml:space="preserve">        </w:t>
      </w:r>
      <w:r>
        <w:rPr>
          <w:rFonts w:hint="eastAsia"/>
          <w:color w:val="auto"/>
          <w:sz w:val="24"/>
        </w:rPr>
        <w:t>元。</w:t>
      </w:r>
    </w:p>
    <w:p>
      <w:pPr>
        <w:tabs>
          <w:tab w:val="left" w:pos="4860"/>
          <w:tab w:val="left" w:pos="5040"/>
        </w:tabs>
        <w:spacing w:line="440" w:lineRule="exact"/>
        <w:rPr>
          <w:rFonts w:hint="eastAsia"/>
          <w:color w:val="auto"/>
          <w:sz w:val="24"/>
        </w:rPr>
      </w:pPr>
      <w:r>
        <w:rPr>
          <w:rFonts w:hint="eastAsia"/>
          <w:color w:val="auto"/>
          <w:sz w:val="24"/>
        </w:rPr>
        <w:t>2、</w:t>
      </w:r>
      <w:r>
        <w:rPr>
          <w:rFonts w:hint="eastAsia"/>
          <w:color w:val="auto"/>
          <w:sz w:val="24"/>
          <w:lang w:val="en-US" w:eastAsia="zh-CN"/>
        </w:rPr>
        <w:t>4</w:t>
      </w:r>
      <w:r>
        <w:rPr>
          <w:rFonts w:hint="eastAsia"/>
          <w:color w:val="auto"/>
          <w:sz w:val="24"/>
        </w:rPr>
        <w:t>kgABC干粉灭火器</w:t>
      </w:r>
      <w:r>
        <w:rPr>
          <w:rFonts w:hint="eastAsia"/>
          <w:color w:val="auto"/>
          <w:sz w:val="24"/>
          <w:u w:val="single"/>
        </w:rPr>
        <w:t xml:space="preserve">         </w:t>
      </w:r>
      <w:r>
        <w:rPr>
          <w:rFonts w:hint="eastAsia"/>
          <w:color w:val="auto"/>
          <w:sz w:val="24"/>
        </w:rPr>
        <w:t>具，单价</w:t>
      </w:r>
      <w:r>
        <w:rPr>
          <w:rFonts w:hint="eastAsia"/>
          <w:color w:val="auto"/>
          <w:sz w:val="24"/>
          <w:u w:val="single"/>
        </w:rPr>
        <w:t xml:space="preserve">        </w:t>
      </w:r>
      <w:r>
        <w:rPr>
          <w:rFonts w:hint="eastAsia"/>
          <w:color w:val="auto"/>
          <w:sz w:val="24"/>
        </w:rPr>
        <w:t>元，计</w:t>
      </w:r>
      <w:r>
        <w:rPr>
          <w:rFonts w:hint="eastAsia"/>
          <w:color w:val="auto"/>
          <w:sz w:val="24"/>
          <w:u w:val="single"/>
        </w:rPr>
        <w:t xml:space="preserve">        </w:t>
      </w:r>
      <w:r>
        <w:rPr>
          <w:rFonts w:hint="eastAsia"/>
          <w:color w:val="auto"/>
          <w:sz w:val="24"/>
        </w:rPr>
        <w:t>元。</w:t>
      </w:r>
    </w:p>
    <w:p>
      <w:pPr>
        <w:tabs>
          <w:tab w:val="left" w:pos="4860"/>
          <w:tab w:val="left" w:pos="5040"/>
        </w:tabs>
        <w:spacing w:line="440" w:lineRule="exact"/>
        <w:rPr>
          <w:rFonts w:hint="eastAsia"/>
          <w:color w:val="auto"/>
          <w:sz w:val="24"/>
        </w:rPr>
      </w:pPr>
      <w:r>
        <w:rPr>
          <w:rFonts w:hint="eastAsia"/>
          <w:color w:val="auto"/>
          <w:sz w:val="24"/>
        </w:rPr>
        <w:t>3、</w:t>
      </w:r>
      <w:r>
        <w:rPr>
          <w:rFonts w:hint="eastAsia"/>
          <w:color w:val="auto"/>
          <w:sz w:val="24"/>
          <w:lang w:val="en-US" w:eastAsia="zh-CN"/>
        </w:rPr>
        <w:t>15</w:t>
      </w:r>
      <w:r>
        <w:rPr>
          <w:rFonts w:hint="eastAsia"/>
          <w:color w:val="auto"/>
          <w:sz w:val="24"/>
        </w:rPr>
        <w:t>kgABC干粉灭火器</w:t>
      </w:r>
      <w:r>
        <w:rPr>
          <w:rFonts w:hint="eastAsia"/>
          <w:color w:val="auto"/>
          <w:sz w:val="24"/>
          <w:u w:val="single"/>
        </w:rPr>
        <w:t xml:space="preserve">         </w:t>
      </w:r>
      <w:r>
        <w:rPr>
          <w:rFonts w:hint="eastAsia"/>
          <w:color w:val="auto"/>
          <w:sz w:val="24"/>
        </w:rPr>
        <w:t>具，单价</w:t>
      </w:r>
      <w:r>
        <w:rPr>
          <w:rFonts w:hint="eastAsia"/>
          <w:color w:val="auto"/>
          <w:sz w:val="24"/>
          <w:u w:val="single"/>
        </w:rPr>
        <w:t xml:space="preserve">       </w:t>
      </w:r>
      <w:r>
        <w:rPr>
          <w:rFonts w:hint="eastAsia"/>
          <w:color w:val="auto"/>
          <w:sz w:val="24"/>
        </w:rPr>
        <w:t>元，计</w:t>
      </w:r>
      <w:r>
        <w:rPr>
          <w:rFonts w:hint="eastAsia"/>
          <w:color w:val="auto"/>
          <w:sz w:val="24"/>
          <w:u w:val="single"/>
        </w:rPr>
        <w:t xml:space="preserve">        </w:t>
      </w:r>
      <w:r>
        <w:rPr>
          <w:rFonts w:hint="eastAsia"/>
          <w:color w:val="auto"/>
          <w:sz w:val="24"/>
        </w:rPr>
        <w:t>元。</w:t>
      </w:r>
    </w:p>
    <w:p>
      <w:pPr>
        <w:spacing w:line="440" w:lineRule="exact"/>
        <w:rPr>
          <w:rFonts w:hint="eastAsia"/>
          <w:color w:val="auto"/>
          <w:sz w:val="24"/>
        </w:rPr>
      </w:pPr>
      <w:r>
        <w:rPr>
          <w:rFonts w:hint="eastAsia"/>
          <w:color w:val="auto"/>
          <w:sz w:val="24"/>
        </w:rPr>
        <w:t>合计：</w:t>
      </w:r>
      <w:r>
        <w:rPr>
          <w:rFonts w:hint="eastAsia"/>
          <w:color w:val="auto"/>
          <w:sz w:val="24"/>
          <w:u w:val="single"/>
        </w:rPr>
        <w:t xml:space="preserve">         </w:t>
      </w:r>
      <w:r>
        <w:rPr>
          <w:rFonts w:hint="eastAsia"/>
          <w:color w:val="auto"/>
          <w:sz w:val="24"/>
        </w:rPr>
        <w:t>元。</w:t>
      </w:r>
    </w:p>
    <w:p>
      <w:pPr>
        <w:spacing w:line="440" w:lineRule="exact"/>
        <w:rPr>
          <w:rFonts w:hint="eastAsia"/>
          <w:color w:val="auto"/>
          <w:sz w:val="24"/>
        </w:rPr>
      </w:pPr>
      <w:r>
        <w:rPr>
          <w:rFonts w:hint="eastAsia"/>
          <w:color w:val="auto"/>
          <w:sz w:val="24"/>
        </w:rPr>
        <w:t>四、其它</w:t>
      </w:r>
    </w:p>
    <w:p>
      <w:pPr>
        <w:pStyle w:val="16"/>
        <w:spacing w:line="360" w:lineRule="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1、</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学校不提供预付款，全部货物运到采购人指定的地点，安装调试结束，经采购人验收合格，中标供应商提交所需单据后，支付合同总价的</w:t>
      </w:r>
      <w:r>
        <w:rPr>
          <w:rFonts w:hint="default" w:ascii="Times New Roman" w:hAnsi="Times New Roman" w:cs="Times New Roman"/>
          <w:color w:val="auto"/>
          <w:sz w:val="24"/>
          <w:u w:val="single"/>
        </w:rPr>
        <w:t xml:space="preserve"> 95 </w:t>
      </w:r>
      <w:r>
        <w:rPr>
          <w:rFonts w:hint="default" w:ascii="Times New Roman" w:hAnsi="Times New Roman" w:cs="Times New Roman"/>
          <w:color w:val="auto"/>
          <w:sz w:val="24"/>
        </w:rPr>
        <w:t>%；余款</w:t>
      </w:r>
      <w:r>
        <w:rPr>
          <w:rFonts w:hint="default" w:ascii="Times New Roman" w:hAnsi="Times New Roman" w:cs="Times New Roman"/>
          <w:color w:val="auto"/>
          <w:sz w:val="24"/>
          <w:u w:val="single"/>
        </w:rPr>
        <w:t>5</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rPr>
        <w:t>%作为质保金，一年后（从验收合格之日算起）无质量问题一个月内付清（不计利息）。</w:t>
      </w:r>
    </w:p>
    <w:p>
      <w:pPr>
        <w:spacing w:line="440" w:lineRule="exact"/>
        <w:rPr>
          <w:rFonts w:hint="default" w:ascii="Times New Roman" w:hAnsi="Times New Roman" w:cs="Times New Roman"/>
          <w:color w:val="auto"/>
          <w:sz w:val="24"/>
        </w:rPr>
      </w:pPr>
      <w:r>
        <w:rPr>
          <w:rFonts w:hint="eastAsia" w:cs="Times New Roman"/>
          <w:color w:val="auto"/>
          <w:sz w:val="24"/>
          <w:lang w:val="en-US" w:eastAsia="zh-CN"/>
        </w:rPr>
        <w:t>2、</w:t>
      </w:r>
      <w:r>
        <w:rPr>
          <w:rFonts w:hint="default" w:ascii="Times New Roman" w:hAnsi="Times New Roman" w:cs="Times New Roman"/>
          <w:color w:val="auto"/>
          <w:sz w:val="24"/>
        </w:rPr>
        <w:t>如甲方验收后发现灭火器质量有问题，须乙方返修，付款期限相应顺延。</w:t>
      </w:r>
    </w:p>
    <w:p>
      <w:pPr>
        <w:tabs>
          <w:tab w:val="left" w:pos="360"/>
          <w:tab w:val="left" w:pos="540"/>
        </w:tabs>
        <w:spacing w:line="440" w:lineRule="exact"/>
        <w:rPr>
          <w:rFonts w:hint="default" w:ascii="Times New Roman" w:hAnsi="Times New Roman" w:cs="Times New Roman"/>
          <w:color w:val="auto"/>
          <w:sz w:val="24"/>
        </w:rPr>
      </w:pPr>
      <w:r>
        <w:rPr>
          <w:rFonts w:hint="eastAsia" w:cs="Times New Roman"/>
          <w:color w:val="auto"/>
          <w:sz w:val="24"/>
          <w:lang w:val="en-US" w:eastAsia="zh-CN"/>
        </w:rPr>
        <w:t>3</w:t>
      </w:r>
      <w:r>
        <w:rPr>
          <w:rFonts w:hint="default" w:ascii="Times New Roman" w:hAnsi="Times New Roman" w:cs="Times New Roman"/>
          <w:color w:val="auto"/>
          <w:sz w:val="24"/>
        </w:rPr>
        <w:t>、 本协议</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eastAsia="zh-CN"/>
        </w:rPr>
        <w:t>叁</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份，</w:t>
      </w:r>
      <w:r>
        <w:rPr>
          <w:rFonts w:hint="default" w:ascii="Times New Roman" w:hAnsi="Times New Roman" w:cs="Times New Roman"/>
          <w:bCs/>
          <w:color w:val="auto"/>
          <w:sz w:val="24"/>
        </w:rPr>
        <w:t>甲乙双方及甲方使用部门各执</w:t>
      </w:r>
      <w:r>
        <w:rPr>
          <w:rFonts w:hint="default" w:ascii="Times New Roman" w:hAnsi="Times New Roman" w:cs="Times New Roman"/>
          <w:color w:val="auto"/>
          <w:sz w:val="24"/>
          <w:u w:val="single"/>
        </w:rPr>
        <w:t xml:space="preserve"> 壹 </w:t>
      </w:r>
      <w:r>
        <w:rPr>
          <w:rFonts w:hint="default" w:ascii="Times New Roman" w:hAnsi="Times New Roman" w:cs="Times New Roman"/>
          <w:color w:val="auto"/>
          <w:sz w:val="24"/>
        </w:rPr>
        <w:t>份，双方签字盖章后即生效。</w:t>
      </w:r>
    </w:p>
    <w:p>
      <w:pPr>
        <w:spacing w:line="440" w:lineRule="exact"/>
        <w:rPr>
          <w:rFonts w:hint="default" w:ascii="Times New Roman" w:hAnsi="Times New Roman" w:cs="Times New Roman"/>
          <w:color w:val="auto"/>
          <w:sz w:val="24"/>
        </w:rPr>
      </w:pPr>
      <w:r>
        <w:rPr>
          <w:rFonts w:hint="eastAsia" w:cs="Times New Roman"/>
          <w:color w:val="auto"/>
          <w:sz w:val="24"/>
          <w:lang w:val="en-US" w:eastAsia="zh-CN"/>
        </w:rPr>
        <w:t>4</w:t>
      </w:r>
      <w:r>
        <w:rPr>
          <w:rFonts w:hint="default" w:ascii="Times New Roman" w:hAnsi="Times New Roman" w:cs="Times New Roman"/>
          <w:color w:val="auto"/>
          <w:sz w:val="24"/>
        </w:rPr>
        <w:t>、 如有争议，双方本着友好协商的原则解决。</w:t>
      </w:r>
    </w:p>
    <w:p>
      <w:pPr>
        <w:spacing w:line="360" w:lineRule="auto"/>
        <w:ind w:left="720" w:hanging="720" w:hangingChars="300"/>
        <w:rPr>
          <w:rFonts w:hint="eastAsia"/>
          <w:color w:val="auto"/>
          <w:sz w:val="24"/>
        </w:rPr>
      </w:pPr>
      <w:r>
        <w:rPr>
          <w:rFonts w:hint="eastAsia"/>
          <w:color w:val="auto"/>
          <w:sz w:val="24"/>
        </w:rPr>
        <w:t xml:space="preserve">甲方：（公章）                        乙方：（公章）                   </w:t>
      </w:r>
    </w:p>
    <w:p>
      <w:pPr>
        <w:spacing w:line="360" w:lineRule="auto"/>
        <w:ind w:left="720" w:hanging="720" w:hangingChars="300"/>
        <w:rPr>
          <w:rFonts w:hint="eastAsia"/>
          <w:color w:val="auto"/>
          <w:sz w:val="24"/>
        </w:rPr>
      </w:pPr>
    </w:p>
    <w:p>
      <w:pPr>
        <w:spacing w:line="360" w:lineRule="auto"/>
        <w:ind w:left="720" w:hanging="720" w:hangingChars="300"/>
        <w:rPr>
          <w:rFonts w:hint="eastAsia"/>
          <w:color w:val="auto"/>
          <w:sz w:val="24"/>
        </w:rPr>
      </w:pPr>
      <w:r>
        <w:rPr>
          <w:rFonts w:hint="eastAsia"/>
          <w:color w:val="auto"/>
          <w:sz w:val="24"/>
        </w:rPr>
        <w:t>签字：                               签字：</w:t>
      </w:r>
    </w:p>
    <w:p>
      <w:pPr>
        <w:spacing w:line="360" w:lineRule="auto"/>
        <w:rPr>
          <w:rFonts w:hint="eastAsia"/>
          <w:color w:val="auto"/>
          <w:sz w:val="24"/>
        </w:rPr>
      </w:pPr>
    </w:p>
    <w:p>
      <w:pPr>
        <w:spacing w:line="360" w:lineRule="auto"/>
        <w:rPr>
          <w:rFonts w:hint="eastAsia"/>
          <w:color w:val="auto"/>
          <w:sz w:val="24"/>
        </w:rPr>
      </w:pPr>
      <w:r>
        <w:rPr>
          <w:rFonts w:hint="eastAsia"/>
          <w:color w:val="auto"/>
          <w:sz w:val="24"/>
        </w:rPr>
        <w:t>日期：                               日期：</w:t>
      </w:r>
    </w:p>
    <w:p>
      <w:pPr>
        <w:pStyle w:val="5"/>
        <w:jc w:val="center"/>
        <w:rPr>
          <w:rFonts w:ascii="Times New Roman" w:hAnsi="Times New Roman" w:eastAsia="楷体"/>
          <w:color w:val="auto"/>
        </w:rPr>
      </w:pPr>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部分投标文件格式</w:t>
      </w:r>
      <w:bookmarkEnd w:id="39"/>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9"/>
        </w:numPr>
        <w:jc w:val="center"/>
        <w:rPr>
          <w:rFonts w:hAnsi="宋体"/>
          <w:color w:val="auto"/>
          <w:sz w:val="36"/>
          <w:szCs w:val="36"/>
        </w:rPr>
      </w:pPr>
      <w:bookmarkStart w:id="40"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6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项目名称</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投标总价</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免费质保期</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供货期</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主要货物</w:t>
            </w:r>
          </w:p>
          <w:p>
            <w:pPr>
              <w:pStyle w:val="16"/>
              <w:spacing w:after="156" w:afterLines="50" w:line="440" w:lineRule="exact"/>
              <w:jc w:val="center"/>
              <w:rPr>
                <w:rFonts w:hAnsi="宋体"/>
                <w:color w:val="auto"/>
                <w:szCs w:val="21"/>
              </w:rPr>
            </w:pPr>
            <w:r>
              <w:rPr>
                <w:rFonts w:hint="eastAsia" w:hAnsi="宋体"/>
                <w:color w:val="auto"/>
                <w:szCs w:val="21"/>
              </w:rPr>
              <w:t>生产者及产地</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rPr>
        <w:t xml:space="preserve"> </w:t>
      </w:r>
      <w:r>
        <w:rPr>
          <w:rFonts w:hint="eastAsia" w:ascii="宋体" w:hAnsi="宋体"/>
          <w:color w:val="auto"/>
          <w:szCs w:val="21"/>
          <w:u w:val="single"/>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color w:val="auto"/>
          <w:sz w:val="24"/>
        </w:rPr>
      </w:pPr>
      <w:r>
        <w:rPr>
          <w:rFonts w:hint="eastAsia" w:ascii="宋体" w:hAnsi="宋体"/>
          <w:b/>
          <w:color w:val="auto"/>
          <w:sz w:val="32"/>
          <w:szCs w:val="32"/>
        </w:rPr>
        <w:t>资格性和符合性检查响应对照及评分索引表</w:t>
      </w:r>
    </w:p>
    <w:p>
      <w:pPr>
        <w:rPr>
          <w:rFonts w:ascii="宋体" w:hAnsi="宋体"/>
          <w:color w:val="auto"/>
          <w:sz w:val="24"/>
        </w:rPr>
      </w:pPr>
    </w:p>
    <w:p>
      <w:pPr>
        <w:rPr>
          <w:rFonts w:ascii="宋体" w:hAnsi="宋体"/>
          <w:color w:val="auto"/>
          <w:sz w:val="24"/>
        </w:rPr>
      </w:pPr>
      <w:r>
        <w:rPr>
          <w:rFonts w:hint="eastAsia" w:ascii="宋体" w:hAnsi="宋体"/>
          <w:color w:val="auto"/>
          <w:sz w:val="24"/>
        </w:rPr>
        <w:t>投标人全称（加盖公章）：</w:t>
      </w:r>
    </w:p>
    <w:p>
      <w:pPr>
        <w:ind w:firstLine="309"/>
        <w:rPr>
          <w:rFonts w:ascii="宋体" w:hAnsi="宋体"/>
          <w:color w:val="auto"/>
          <w:sz w:val="24"/>
        </w:rPr>
      </w:pPr>
    </w:p>
    <w:tbl>
      <w:tblPr>
        <w:tblStyle w:val="35"/>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58"/>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序号</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是否响应</w:t>
            </w:r>
          </w:p>
          <w:p>
            <w:pPr>
              <w:snapToGrid w:val="0"/>
              <w:spacing w:line="240" w:lineRule="atLeast"/>
              <w:jc w:val="center"/>
              <w:rPr>
                <w:rFonts w:ascii="幼圆" w:eastAsia="幼圆"/>
                <w:b/>
                <w:color w:val="auto"/>
                <w:szCs w:val="21"/>
              </w:rPr>
            </w:pPr>
            <w:r>
              <w:rPr>
                <w:rFonts w:hint="eastAsia" w:ascii="幼圆" w:eastAsia="幼圆"/>
                <w:b/>
                <w:color w:val="auto"/>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投标文件中的</w:t>
            </w:r>
          </w:p>
          <w:p>
            <w:pPr>
              <w:snapToGrid w:val="0"/>
              <w:spacing w:line="240" w:lineRule="atLeast"/>
              <w:jc w:val="center"/>
              <w:rPr>
                <w:rFonts w:ascii="幼圆" w:eastAsia="幼圆"/>
                <w:b/>
                <w:color w:val="auto"/>
                <w:szCs w:val="21"/>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1</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2</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color w:val="auto"/>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3</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4</w:t>
            </w:r>
          </w:p>
        </w:tc>
        <w:tc>
          <w:tcPr>
            <w:tcW w:w="5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5</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6</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7</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宋体" w:hAnsi="宋体"/>
                <w:b/>
                <w:bCs/>
                <w:color w:val="auto"/>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幼圆" w:eastAsia="幼圆"/>
                <w:b/>
                <w:bCs/>
                <w:color w:val="auto"/>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80"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80"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bl>
    <w:p>
      <w:pPr>
        <w:autoSpaceDE w:val="0"/>
        <w:autoSpaceDN w:val="0"/>
        <w:adjustRightInd w:val="0"/>
        <w:spacing w:line="360" w:lineRule="auto"/>
        <w:jc w:val="center"/>
        <w:rPr>
          <w:rFonts w:ascii="宋体"/>
          <w:b/>
          <w:color w:val="auto"/>
          <w:kern w:val="0"/>
          <w:sz w:val="32"/>
          <w:szCs w:val="32"/>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b/>
          <w:color w:val="auto"/>
          <w:sz w:val="36"/>
          <w:szCs w:val="36"/>
        </w:rPr>
      </w:pPr>
      <w:r>
        <w:rPr>
          <w:rFonts w:ascii="宋体" w:hAnsi="宋体"/>
          <w:b/>
          <w:color w:val="auto"/>
          <w:sz w:val="36"/>
          <w:szCs w:val="36"/>
        </w:rPr>
        <w:t>三、</w:t>
      </w:r>
      <w:bookmarkEnd w:id="40"/>
      <w:bookmarkStart w:id="41" w:name="_Toc157775469"/>
      <w:r>
        <w:rPr>
          <w:rFonts w:ascii="宋体" w:hAnsi="宋体"/>
          <w:b/>
          <w:color w:val="auto"/>
          <w:sz w:val="36"/>
          <w:szCs w:val="36"/>
        </w:rPr>
        <w:t>产品质保及服务承诺书</w:t>
      </w:r>
      <w:bookmarkStart w:id="42"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42"/>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41"/>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ascii="宋体" w:hAnsi="宋体"/>
          <w:color w:val="auto"/>
          <w:szCs w:val="21"/>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ascii="宋体" w:hAnsi="宋体"/>
          <w:b/>
          <w:color w:val="auto"/>
          <w:sz w:val="36"/>
          <w:szCs w:val="36"/>
        </w:rPr>
      </w:pPr>
      <w:r>
        <w:rPr>
          <w:rFonts w:hint="eastAsia" w:ascii="宋体" w:hAnsi="宋体"/>
          <w:b/>
          <w:color w:val="auto"/>
          <w:sz w:val="36"/>
          <w:szCs w:val="36"/>
        </w:rPr>
        <w:t>授权委托书</w:t>
      </w:r>
    </w:p>
    <w:p>
      <w:pPr>
        <w:jc w:val="center"/>
        <w:rPr>
          <w:rFonts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 xml:space="preserve">  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ascii="宋体" w:hAnsi="宋体"/>
          <w:color w:val="auto"/>
          <w:szCs w:val="21"/>
        </w:rPr>
      </w:pPr>
    </w:p>
    <w:p>
      <w:pPr>
        <w:tabs>
          <w:tab w:val="left" w:pos="5812"/>
        </w:tabs>
        <w:spacing w:line="440" w:lineRule="exact"/>
        <w:ind w:firstLine="7700" w:firstLineChars="3667"/>
        <w:rPr>
          <w:rFonts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ascii="宋体" w:hAnsi="宋体"/>
          <w:color w:val="auto"/>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ascii="宋体" w:hAnsi="宋体"/>
          <w:color w:val="auto"/>
          <w:szCs w:val="21"/>
        </w:rPr>
      </w:pPr>
      <w:r>
        <w:rPr>
          <w:rFonts w:hint="eastAsia" w:ascii="宋体" w:hAnsi="宋体"/>
          <w:color w:val="auto"/>
          <w:szCs w:val="21"/>
        </w:rPr>
        <w:t>法人代表签字：</w:t>
      </w:r>
    </w:p>
    <w:p>
      <w:pPr>
        <w:spacing w:line="440" w:lineRule="exact"/>
        <w:rPr>
          <w:rFonts w:ascii="宋体" w:hAnsi="宋体"/>
          <w:color w:val="auto"/>
          <w:szCs w:val="21"/>
        </w:rPr>
      </w:pPr>
    </w:p>
    <w:p>
      <w:pPr>
        <w:spacing w:line="500" w:lineRule="exact"/>
        <w:ind w:firstLine="6720" w:firstLineChars="2400"/>
        <w:rPr>
          <w:rFonts w:ascii="仿宋_GB2312" w:hAnsi="宋体" w:eastAsia="仿宋_GB2312"/>
          <w:color w:val="auto"/>
          <w:sz w:val="28"/>
          <w:szCs w:val="28"/>
        </w:rPr>
      </w:pPr>
    </w:p>
    <w:p>
      <w:pPr>
        <w:spacing w:line="440" w:lineRule="exact"/>
        <w:rPr>
          <w:rFonts w:ascii="宋体" w:hAnsi="宋体"/>
          <w:color w:val="auto"/>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9</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1A735DB5"/>
    <w:multiLevelType w:val="multilevel"/>
    <w:tmpl w:val="1A735DB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3C034C"/>
    <w:multiLevelType w:val="multilevel"/>
    <w:tmpl w:val="3C3C034C"/>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D8B070B"/>
    <w:multiLevelType w:val="multilevel"/>
    <w:tmpl w:val="4D8B070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E45DDA"/>
    <w:multiLevelType w:val="singleLevel"/>
    <w:tmpl w:val="59E45DDA"/>
    <w:lvl w:ilvl="0" w:tentative="0">
      <w:start w:val="1"/>
      <w:numFmt w:val="decimal"/>
      <w:suff w:val="nothing"/>
      <w:lvlText w:val="%1、"/>
      <w:lvlJc w:val="left"/>
    </w:lvl>
  </w:abstractNum>
  <w:abstractNum w:abstractNumId="6">
    <w:nsid w:val="59E4778C"/>
    <w:multiLevelType w:val="singleLevel"/>
    <w:tmpl w:val="59E4778C"/>
    <w:lvl w:ilvl="0" w:tentative="0">
      <w:start w:val="2"/>
      <w:numFmt w:val="chineseCounting"/>
      <w:suff w:val="nothing"/>
      <w:lvlText w:val="%1、"/>
      <w:lvlJc w:val="left"/>
    </w:lvl>
  </w:abstractNum>
  <w:abstractNum w:abstractNumId="7">
    <w:nsid w:val="59E80311"/>
    <w:multiLevelType w:val="singleLevel"/>
    <w:tmpl w:val="59E80311"/>
    <w:lvl w:ilvl="0" w:tentative="0">
      <w:start w:val="1"/>
      <w:numFmt w:val="decimal"/>
      <w:suff w:val="nothing"/>
      <w:lvlText w:val="%1、"/>
      <w:lvlJc w:val="left"/>
    </w:lvl>
  </w:abstractNum>
  <w:abstractNum w:abstractNumId="8">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4"/>
  </w:num>
  <w:num w:numId="3">
    <w:abstractNumId w:val="8"/>
  </w:num>
  <w:num w:numId="4">
    <w:abstractNumId w:val="5"/>
  </w:num>
  <w:num w:numId="5">
    <w:abstractNumId w:val="7"/>
  </w:num>
  <w:num w:numId="6">
    <w:abstractNumId w:val="2"/>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236"/>
    <w:rsid w:val="00013C5A"/>
    <w:rsid w:val="00014249"/>
    <w:rsid w:val="0001432F"/>
    <w:rsid w:val="00014CEA"/>
    <w:rsid w:val="0001536F"/>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7E1"/>
    <w:rsid w:val="00035C7C"/>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206B"/>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3994"/>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9E9"/>
    <w:rsid w:val="000A6A94"/>
    <w:rsid w:val="000A7DF9"/>
    <w:rsid w:val="000B0A9F"/>
    <w:rsid w:val="000B0E09"/>
    <w:rsid w:val="000B115E"/>
    <w:rsid w:val="000B16BE"/>
    <w:rsid w:val="000B18FB"/>
    <w:rsid w:val="000B1E34"/>
    <w:rsid w:val="000B2035"/>
    <w:rsid w:val="000B2EEF"/>
    <w:rsid w:val="000B3C5E"/>
    <w:rsid w:val="000B3D7B"/>
    <w:rsid w:val="000B4B2F"/>
    <w:rsid w:val="000B4F15"/>
    <w:rsid w:val="000B5A0B"/>
    <w:rsid w:val="000B6719"/>
    <w:rsid w:val="000B6B65"/>
    <w:rsid w:val="000B714A"/>
    <w:rsid w:val="000B7C81"/>
    <w:rsid w:val="000C0549"/>
    <w:rsid w:val="000C2560"/>
    <w:rsid w:val="000C2B77"/>
    <w:rsid w:val="000C2EC0"/>
    <w:rsid w:val="000C31E7"/>
    <w:rsid w:val="000C6B9C"/>
    <w:rsid w:val="000C778C"/>
    <w:rsid w:val="000D18BF"/>
    <w:rsid w:val="000D1E80"/>
    <w:rsid w:val="000D25F0"/>
    <w:rsid w:val="000D36A2"/>
    <w:rsid w:val="000D3A7F"/>
    <w:rsid w:val="000D4423"/>
    <w:rsid w:val="000D481F"/>
    <w:rsid w:val="000D4DBA"/>
    <w:rsid w:val="000D4DC9"/>
    <w:rsid w:val="000D5DB8"/>
    <w:rsid w:val="000E074D"/>
    <w:rsid w:val="000E1ED8"/>
    <w:rsid w:val="000E1FAF"/>
    <w:rsid w:val="000E2CC8"/>
    <w:rsid w:val="000E4F85"/>
    <w:rsid w:val="000E5111"/>
    <w:rsid w:val="000E5B63"/>
    <w:rsid w:val="000E5C21"/>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1ECF"/>
    <w:rsid w:val="001120D9"/>
    <w:rsid w:val="0011245D"/>
    <w:rsid w:val="00112AC3"/>
    <w:rsid w:val="001133CE"/>
    <w:rsid w:val="00113C8E"/>
    <w:rsid w:val="00113EE3"/>
    <w:rsid w:val="00113FF8"/>
    <w:rsid w:val="00114B06"/>
    <w:rsid w:val="00114FB3"/>
    <w:rsid w:val="0011529C"/>
    <w:rsid w:val="00115667"/>
    <w:rsid w:val="0011672F"/>
    <w:rsid w:val="001169BC"/>
    <w:rsid w:val="0011799A"/>
    <w:rsid w:val="00117CA1"/>
    <w:rsid w:val="00120041"/>
    <w:rsid w:val="0012076D"/>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6EA"/>
    <w:rsid w:val="00136B0A"/>
    <w:rsid w:val="001375D4"/>
    <w:rsid w:val="00141418"/>
    <w:rsid w:val="00141550"/>
    <w:rsid w:val="0014175F"/>
    <w:rsid w:val="00144709"/>
    <w:rsid w:val="00144809"/>
    <w:rsid w:val="00146032"/>
    <w:rsid w:val="001501D3"/>
    <w:rsid w:val="00150274"/>
    <w:rsid w:val="00150F69"/>
    <w:rsid w:val="001530A4"/>
    <w:rsid w:val="00154D16"/>
    <w:rsid w:val="00155511"/>
    <w:rsid w:val="00157D4C"/>
    <w:rsid w:val="0016061C"/>
    <w:rsid w:val="00161D93"/>
    <w:rsid w:val="00161E55"/>
    <w:rsid w:val="0016332D"/>
    <w:rsid w:val="001639B6"/>
    <w:rsid w:val="001655AE"/>
    <w:rsid w:val="00165747"/>
    <w:rsid w:val="001659A9"/>
    <w:rsid w:val="00165DA8"/>
    <w:rsid w:val="00167046"/>
    <w:rsid w:val="0016705A"/>
    <w:rsid w:val="001705D9"/>
    <w:rsid w:val="00171686"/>
    <w:rsid w:val="00171AF1"/>
    <w:rsid w:val="001735E5"/>
    <w:rsid w:val="00174F38"/>
    <w:rsid w:val="00177293"/>
    <w:rsid w:val="0017773A"/>
    <w:rsid w:val="00177C4F"/>
    <w:rsid w:val="0018043D"/>
    <w:rsid w:val="001804B5"/>
    <w:rsid w:val="00180579"/>
    <w:rsid w:val="00180DA8"/>
    <w:rsid w:val="00181412"/>
    <w:rsid w:val="00182E04"/>
    <w:rsid w:val="001837E2"/>
    <w:rsid w:val="00184F49"/>
    <w:rsid w:val="00185A76"/>
    <w:rsid w:val="00185C21"/>
    <w:rsid w:val="0018723B"/>
    <w:rsid w:val="001873B7"/>
    <w:rsid w:val="001877F0"/>
    <w:rsid w:val="00187AE1"/>
    <w:rsid w:val="00190049"/>
    <w:rsid w:val="0019159C"/>
    <w:rsid w:val="0019164C"/>
    <w:rsid w:val="001935B8"/>
    <w:rsid w:val="00193A74"/>
    <w:rsid w:val="00194716"/>
    <w:rsid w:val="0019503F"/>
    <w:rsid w:val="0019558A"/>
    <w:rsid w:val="00196931"/>
    <w:rsid w:val="00196F5E"/>
    <w:rsid w:val="001A1FD3"/>
    <w:rsid w:val="001A310F"/>
    <w:rsid w:val="001A3467"/>
    <w:rsid w:val="001A3A63"/>
    <w:rsid w:val="001A3DBE"/>
    <w:rsid w:val="001A464B"/>
    <w:rsid w:val="001A5439"/>
    <w:rsid w:val="001A6401"/>
    <w:rsid w:val="001A77D0"/>
    <w:rsid w:val="001A7F33"/>
    <w:rsid w:val="001B005C"/>
    <w:rsid w:val="001B02EB"/>
    <w:rsid w:val="001B0B4B"/>
    <w:rsid w:val="001B0D15"/>
    <w:rsid w:val="001B0F9B"/>
    <w:rsid w:val="001B2681"/>
    <w:rsid w:val="001B27D7"/>
    <w:rsid w:val="001B314C"/>
    <w:rsid w:val="001B4776"/>
    <w:rsid w:val="001B540E"/>
    <w:rsid w:val="001B6E64"/>
    <w:rsid w:val="001C0469"/>
    <w:rsid w:val="001C05BB"/>
    <w:rsid w:val="001C0C60"/>
    <w:rsid w:val="001C1962"/>
    <w:rsid w:val="001C1BD0"/>
    <w:rsid w:val="001C23E0"/>
    <w:rsid w:val="001C3C1A"/>
    <w:rsid w:val="001C4FAC"/>
    <w:rsid w:val="001C5506"/>
    <w:rsid w:val="001C5BDB"/>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225"/>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2CC0"/>
    <w:rsid w:val="00213454"/>
    <w:rsid w:val="002135BB"/>
    <w:rsid w:val="00213CD6"/>
    <w:rsid w:val="00215617"/>
    <w:rsid w:val="002157FA"/>
    <w:rsid w:val="00217A9A"/>
    <w:rsid w:val="00217DFD"/>
    <w:rsid w:val="00220A9C"/>
    <w:rsid w:val="00221655"/>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72B"/>
    <w:rsid w:val="0024380B"/>
    <w:rsid w:val="00244DEF"/>
    <w:rsid w:val="00247271"/>
    <w:rsid w:val="00247E3A"/>
    <w:rsid w:val="00247EDB"/>
    <w:rsid w:val="002501C2"/>
    <w:rsid w:val="00251021"/>
    <w:rsid w:val="00251188"/>
    <w:rsid w:val="00252465"/>
    <w:rsid w:val="00252F7F"/>
    <w:rsid w:val="002531CE"/>
    <w:rsid w:val="002536D7"/>
    <w:rsid w:val="00253DD3"/>
    <w:rsid w:val="00255E2E"/>
    <w:rsid w:val="00256464"/>
    <w:rsid w:val="00257191"/>
    <w:rsid w:val="00260712"/>
    <w:rsid w:val="0026130B"/>
    <w:rsid w:val="00261ED8"/>
    <w:rsid w:val="00261FC1"/>
    <w:rsid w:val="00263151"/>
    <w:rsid w:val="00265ECB"/>
    <w:rsid w:val="0026659B"/>
    <w:rsid w:val="00266B48"/>
    <w:rsid w:val="00266F36"/>
    <w:rsid w:val="002701D4"/>
    <w:rsid w:val="002706C4"/>
    <w:rsid w:val="00270BC2"/>
    <w:rsid w:val="00274867"/>
    <w:rsid w:val="00274F6B"/>
    <w:rsid w:val="00275B92"/>
    <w:rsid w:val="00276144"/>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56D"/>
    <w:rsid w:val="002A167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0D4D"/>
    <w:rsid w:val="002C1987"/>
    <w:rsid w:val="002C1A4F"/>
    <w:rsid w:val="002C2077"/>
    <w:rsid w:val="002C2409"/>
    <w:rsid w:val="002C3ED7"/>
    <w:rsid w:val="002C49BE"/>
    <w:rsid w:val="002C6084"/>
    <w:rsid w:val="002C6443"/>
    <w:rsid w:val="002C6460"/>
    <w:rsid w:val="002C6B88"/>
    <w:rsid w:val="002C6F8D"/>
    <w:rsid w:val="002D0419"/>
    <w:rsid w:val="002D1565"/>
    <w:rsid w:val="002D167C"/>
    <w:rsid w:val="002D1C57"/>
    <w:rsid w:val="002D224E"/>
    <w:rsid w:val="002D387D"/>
    <w:rsid w:val="002D4CB5"/>
    <w:rsid w:val="002D4E5B"/>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40D"/>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1C5E"/>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4CE8"/>
    <w:rsid w:val="0031564C"/>
    <w:rsid w:val="00315966"/>
    <w:rsid w:val="00315D4F"/>
    <w:rsid w:val="00316270"/>
    <w:rsid w:val="003164F2"/>
    <w:rsid w:val="00317E56"/>
    <w:rsid w:val="00321392"/>
    <w:rsid w:val="0032219F"/>
    <w:rsid w:val="0032237B"/>
    <w:rsid w:val="00322C05"/>
    <w:rsid w:val="003237F0"/>
    <w:rsid w:val="00324D19"/>
    <w:rsid w:val="0032580F"/>
    <w:rsid w:val="00325C8D"/>
    <w:rsid w:val="00326FE1"/>
    <w:rsid w:val="00327820"/>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3AD8"/>
    <w:rsid w:val="00345996"/>
    <w:rsid w:val="0034661F"/>
    <w:rsid w:val="003469A9"/>
    <w:rsid w:val="00346E54"/>
    <w:rsid w:val="00347606"/>
    <w:rsid w:val="00347D43"/>
    <w:rsid w:val="00350C48"/>
    <w:rsid w:val="00351315"/>
    <w:rsid w:val="00351B4D"/>
    <w:rsid w:val="00351D35"/>
    <w:rsid w:val="00352938"/>
    <w:rsid w:val="0035299A"/>
    <w:rsid w:val="00352AAC"/>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5E7A"/>
    <w:rsid w:val="00377691"/>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1988"/>
    <w:rsid w:val="003A23E2"/>
    <w:rsid w:val="003A2631"/>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071E"/>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A54"/>
    <w:rsid w:val="00457BB5"/>
    <w:rsid w:val="00460E71"/>
    <w:rsid w:val="00461A1D"/>
    <w:rsid w:val="00461E8F"/>
    <w:rsid w:val="0046271B"/>
    <w:rsid w:val="0046349E"/>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08C5"/>
    <w:rsid w:val="00481AA6"/>
    <w:rsid w:val="00482F16"/>
    <w:rsid w:val="00482FAF"/>
    <w:rsid w:val="00485175"/>
    <w:rsid w:val="00486DF9"/>
    <w:rsid w:val="00486FF0"/>
    <w:rsid w:val="00487776"/>
    <w:rsid w:val="00487863"/>
    <w:rsid w:val="00490457"/>
    <w:rsid w:val="004912A2"/>
    <w:rsid w:val="004914C1"/>
    <w:rsid w:val="00491A56"/>
    <w:rsid w:val="00492369"/>
    <w:rsid w:val="004923E2"/>
    <w:rsid w:val="00492417"/>
    <w:rsid w:val="004925FE"/>
    <w:rsid w:val="00492E7C"/>
    <w:rsid w:val="0049496F"/>
    <w:rsid w:val="004979FD"/>
    <w:rsid w:val="004A0D4E"/>
    <w:rsid w:val="004A1DFB"/>
    <w:rsid w:val="004A3365"/>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C18"/>
    <w:rsid w:val="004C3F1D"/>
    <w:rsid w:val="004C44DF"/>
    <w:rsid w:val="004C4620"/>
    <w:rsid w:val="004C6549"/>
    <w:rsid w:val="004C677C"/>
    <w:rsid w:val="004C75F6"/>
    <w:rsid w:val="004C79FA"/>
    <w:rsid w:val="004D0768"/>
    <w:rsid w:val="004D07DC"/>
    <w:rsid w:val="004D0C40"/>
    <w:rsid w:val="004D1432"/>
    <w:rsid w:val="004D1BDC"/>
    <w:rsid w:val="004D1C31"/>
    <w:rsid w:val="004D21E9"/>
    <w:rsid w:val="004D371D"/>
    <w:rsid w:val="004D3969"/>
    <w:rsid w:val="004D3BD2"/>
    <w:rsid w:val="004D6690"/>
    <w:rsid w:val="004D696A"/>
    <w:rsid w:val="004D74BD"/>
    <w:rsid w:val="004E0000"/>
    <w:rsid w:val="004E0573"/>
    <w:rsid w:val="004E0AD3"/>
    <w:rsid w:val="004E1115"/>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3B7E"/>
    <w:rsid w:val="0050548A"/>
    <w:rsid w:val="0050568D"/>
    <w:rsid w:val="005100D6"/>
    <w:rsid w:val="00510B41"/>
    <w:rsid w:val="00511B4E"/>
    <w:rsid w:val="00512EB2"/>
    <w:rsid w:val="00513325"/>
    <w:rsid w:val="00513711"/>
    <w:rsid w:val="005139F3"/>
    <w:rsid w:val="0051497B"/>
    <w:rsid w:val="00514B59"/>
    <w:rsid w:val="005160A0"/>
    <w:rsid w:val="005165BD"/>
    <w:rsid w:val="005165C8"/>
    <w:rsid w:val="005178A2"/>
    <w:rsid w:val="005210C2"/>
    <w:rsid w:val="00522046"/>
    <w:rsid w:val="005236F6"/>
    <w:rsid w:val="00523F4A"/>
    <w:rsid w:val="0052418C"/>
    <w:rsid w:val="00526AA6"/>
    <w:rsid w:val="00526B0F"/>
    <w:rsid w:val="00527054"/>
    <w:rsid w:val="005270FA"/>
    <w:rsid w:val="00527616"/>
    <w:rsid w:val="00527708"/>
    <w:rsid w:val="00527765"/>
    <w:rsid w:val="005317B3"/>
    <w:rsid w:val="0053226D"/>
    <w:rsid w:val="005328D1"/>
    <w:rsid w:val="005329F6"/>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D3C"/>
    <w:rsid w:val="00545FD0"/>
    <w:rsid w:val="005462D7"/>
    <w:rsid w:val="005466BF"/>
    <w:rsid w:val="00546FD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659"/>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0553"/>
    <w:rsid w:val="005C26D1"/>
    <w:rsid w:val="005C28D9"/>
    <w:rsid w:val="005C2C9C"/>
    <w:rsid w:val="005C3929"/>
    <w:rsid w:val="005C3C83"/>
    <w:rsid w:val="005C4EC5"/>
    <w:rsid w:val="005C552E"/>
    <w:rsid w:val="005C6108"/>
    <w:rsid w:val="005C6282"/>
    <w:rsid w:val="005C6968"/>
    <w:rsid w:val="005C741B"/>
    <w:rsid w:val="005C794A"/>
    <w:rsid w:val="005D00E3"/>
    <w:rsid w:val="005D0296"/>
    <w:rsid w:val="005D19F9"/>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1FA7"/>
    <w:rsid w:val="005E20B1"/>
    <w:rsid w:val="005E2A32"/>
    <w:rsid w:val="005E33E6"/>
    <w:rsid w:val="005E4A4B"/>
    <w:rsid w:val="005E4BD8"/>
    <w:rsid w:val="005E4D64"/>
    <w:rsid w:val="005E52C3"/>
    <w:rsid w:val="005E607F"/>
    <w:rsid w:val="005E612C"/>
    <w:rsid w:val="005E635A"/>
    <w:rsid w:val="005E6948"/>
    <w:rsid w:val="005E7460"/>
    <w:rsid w:val="005F034C"/>
    <w:rsid w:val="005F112A"/>
    <w:rsid w:val="005F2C91"/>
    <w:rsid w:val="005F3067"/>
    <w:rsid w:val="005F3DBC"/>
    <w:rsid w:val="005F6377"/>
    <w:rsid w:val="005F6AB2"/>
    <w:rsid w:val="005F7AB6"/>
    <w:rsid w:val="006001FC"/>
    <w:rsid w:val="00600CA3"/>
    <w:rsid w:val="00600F68"/>
    <w:rsid w:val="00600FF7"/>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5AB"/>
    <w:rsid w:val="00620D8E"/>
    <w:rsid w:val="006210BB"/>
    <w:rsid w:val="006211B5"/>
    <w:rsid w:val="006211EB"/>
    <w:rsid w:val="00621251"/>
    <w:rsid w:val="006217DD"/>
    <w:rsid w:val="00622246"/>
    <w:rsid w:val="00622C70"/>
    <w:rsid w:val="0062366C"/>
    <w:rsid w:val="006238EB"/>
    <w:rsid w:val="00624782"/>
    <w:rsid w:val="006255B9"/>
    <w:rsid w:val="00625F09"/>
    <w:rsid w:val="006309FD"/>
    <w:rsid w:val="006310C5"/>
    <w:rsid w:val="0063146F"/>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1A0B"/>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60D4"/>
    <w:rsid w:val="0068721B"/>
    <w:rsid w:val="0068730C"/>
    <w:rsid w:val="006873A3"/>
    <w:rsid w:val="006874D0"/>
    <w:rsid w:val="006876DB"/>
    <w:rsid w:val="00687BEE"/>
    <w:rsid w:val="006912C1"/>
    <w:rsid w:val="0069143A"/>
    <w:rsid w:val="00691465"/>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41A"/>
    <w:rsid w:val="006A4F0D"/>
    <w:rsid w:val="006A55D8"/>
    <w:rsid w:val="006A57F3"/>
    <w:rsid w:val="006A5902"/>
    <w:rsid w:val="006A6AE5"/>
    <w:rsid w:val="006A7487"/>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C7149"/>
    <w:rsid w:val="006D005C"/>
    <w:rsid w:val="006D0151"/>
    <w:rsid w:val="006D191E"/>
    <w:rsid w:val="006D1940"/>
    <w:rsid w:val="006D1CC8"/>
    <w:rsid w:val="006D326B"/>
    <w:rsid w:val="006D4BE5"/>
    <w:rsid w:val="006D5C77"/>
    <w:rsid w:val="006D6C49"/>
    <w:rsid w:val="006D7B66"/>
    <w:rsid w:val="006D7D52"/>
    <w:rsid w:val="006E0A28"/>
    <w:rsid w:val="006E16AB"/>
    <w:rsid w:val="006E2BFD"/>
    <w:rsid w:val="006E2EAA"/>
    <w:rsid w:val="006E2F68"/>
    <w:rsid w:val="006E42FD"/>
    <w:rsid w:val="006E4C19"/>
    <w:rsid w:val="006E547C"/>
    <w:rsid w:val="006E5C11"/>
    <w:rsid w:val="006E5D2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166C"/>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490"/>
    <w:rsid w:val="00726E76"/>
    <w:rsid w:val="007277CB"/>
    <w:rsid w:val="007301CF"/>
    <w:rsid w:val="007301FC"/>
    <w:rsid w:val="00732BD9"/>
    <w:rsid w:val="00732F36"/>
    <w:rsid w:val="00733B2A"/>
    <w:rsid w:val="00733EE3"/>
    <w:rsid w:val="0073458B"/>
    <w:rsid w:val="007347F8"/>
    <w:rsid w:val="00734824"/>
    <w:rsid w:val="00734FB1"/>
    <w:rsid w:val="007350C4"/>
    <w:rsid w:val="00736333"/>
    <w:rsid w:val="00736363"/>
    <w:rsid w:val="0073642D"/>
    <w:rsid w:val="007379E5"/>
    <w:rsid w:val="007404C2"/>
    <w:rsid w:val="00741325"/>
    <w:rsid w:val="00741391"/>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2FFE"/>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2CD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1F91"/>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9CB"/>
    <w:rsid w:val="00806CDF"/>
    <w:rsid w:val="00807A87"/>
    <w:rsid w:val="00807CF2"/>
    <w:rsid w:val="00810A59"/>
    <w:rsid w:val="00810D37"/>
    <w:rsid w:val="00811490"/>
    <w:rsid w:val="00811A23"/>
    <w:rsid w:val="00811D64"/>
    <w:rsid w:val="0081305D"/>
    <w:rsid w:val="0081403B"/>
    <w:rsid w:val="00814507"/>
    <w:rsid w:val="008148BE"/>
    <w:rsid w:val="0081732B"/>
    <w:rsid w:val="00817C79"/>
    <w:rsid w:val="00820923"/>
    <w:rsid w:val="008213DF"/>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4C59"/>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71B"/>
    <w:rsid w:val="00847873"/>
    <w:rsid w:val="00847A02"/>
    <w:rsid w:val="00847CBD"/>
    <w:rsid w:val="00847E88"/>
    <w:rsid w:val="00850B18"/>
    <w:rsid w:val="00850EA5"/>
    <w:rsid w:val="00851F10"/>
    <w:rsid w:val="00852E50"/>
    <w:rsid w:val="00853230"/>
    <w:rsid w:val="00854CF2"/>
    <w:rsid w:val="008552D9"/>
    <w:rsid w:val="0085549D"/>
    <w:rsid w:val="00855AA5"/>
    <w:rsid w:val="00855AF6"/>
    <w:rsid w:val="00857280"/>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7C9"/>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251B"/>
    <w:rsid w:val="008A314C"/>
    <w:rsid w:val="008A3F64"/>
    <w:rsid w:val="008A4FDD"/>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0C02"/>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226A"/>
    <w:rsid w:val="008F3248"/>
    <w:rsid w:val="008F38D4"/>
    <w:rsid w:val="008F4346"/>
    <w:rsid w:val="008F4665"/>
    <w:rsid w:val="008F4667"/>
    <w:rsid w:val="008F54A9"/>
    <w:rsid w:val="008F5F82"/>
    <w:rsid w:val="008F70C6"/>
    <w:rsid w:val="008F7183"/>
    <w:rsid w:val="008F7651"/>
    <w:rsid w:val="008F77B0"/>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5C0"/>
    <w:rsid w:val="00917B94"/>
    <w:rsid w:val="00917F47"/>
    <w:rsid w:val="009219AC"/>
    <w:rsid w:val="0092252E"/>
    <w:rsid w:val="00925C75"/>
    <w:rsid w:val="00926253"/>
    <w:rsid w:val="00926B05"/>
    <w:rsid w:val="009279AA"/>
    <w:rsid w:val="009301E8"/>
    <w:rsid w:val="00930709"/>
    <w:rsid w:val="00930E03"/>
    <w:rsid w:val="009317AA"/>
    <w:rsid w:val="00931DD6"/>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59C2"/>
    <w:rsid w:val="0094676B"/>
    <w:rsid w:val="00947429"/>
    <w:rsid w:val="00950081"/>
    <w:rsid w:val="00952257"/>
    <w:rsid w:val="00952959"/>
    <w:rsid w:val="00953664"/>
    <w:rsid w:val="009554FD"/>
    <w:rsid w:val="00956AC3"/>
    <w:rsid w:val="009600D9"/>
    <w:rsid w:val="0096042A"/>
    <w:rsid w:val="00960614"/>
    <w:rsid w:val="00961699"/>
    <w:rsid w:val="00962093"/>
    <w:rsid w:val="00963A29"/>
    <w:rsid w:val="00964D40"/>
    <w:rsid w:val="009660BF"/>
    <w:rsid w:val="0096626C"/>
    <w:rsid w:val="009663E6"/>
    <w:rsid w:val="00966792"/>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4474"/>
    <w:rsid w:val="0099590C"/>
    <w:rsid w:val="00995994"/>
    <w:rsid w:val="0099694E"/>
    <w:rsid w:val="00996AE7"/>
    <w:rsid w:val="009A0DDE"/>
    <w:rsid w:val="009A10CB"/>
    <w:rsid w:val="009A4B1E"/>
    <w:rsid w:val="009A4CB4"/>
    <w:rsid w:val="009A5C0E"/>
    <w:rsid w:val="009A791A"/>
    <w:rsid w:val="009A7A84"/>
    <w:rsid w:val="009B08AB"/>
    <w:rsid w:val="009B13E7"/>
    <w:rsid w:val="009B14D8"/>
    <w:rsid w:val="009B174D"/>
    <w:rsid w:val="009B1A72"/>
    <w:rsid w:val="009B391E"/>
    <w:rsid w:val="009B3E4F"/>
    <w:rsid w:val="009B4331"/>
    <w:rsid w:val="009B4A68"/>
    <w:rsid w:val="009B509C"/>
    <w:rsid w:val="009B598A"/>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D7C1C"/>
    <w:rsid w:val="009E0516"/>
    <w:rsid w:val="009E0A9B"/>
    <w:rsid w:val="009E0DFA"/>
    <w:rsid w:val="009E1174"/>
    <w:rsid w:val="009E2305"/>
    <w:rsid w:val="009E2FB5"/>
    <w:rsid w:val="009E3331"/>
    <w:rsid w:val="009E341F"/>
    <w:rsid w:val="009E36CB"/>
    <w:rsid w:val="009E4530"/>
    <w:rsid w:val="009E46C2"/>
    <w:rsid w:val="009E53C6"/>
    <w:rsid w:val="009E70D6"/>
    <w:rsid w:val="009E7639"/>
    <w:rsid w:val="009E77CA"/>
    <w:rsid w:val="009F048A"/>
    <w:rsid w:val="009F0922"/>
    <w:rsid w:val="009F0BB4"/>
    <w:rsid w:val="009F0E65"/>
    <w:rsid w:val="009F3735"/>
    <w:rsid w:val="009F4FE7"/>
    <w:rsid w:val="009F5356"/>
    <w:rsid w:val="009F59B6"/>
    <w:rsid w:val="009F6BF2"/>
    <w:rsid w:val="009F73F3"/>
    <w:rsid w:val="00A005E7"/>
    <w:rsid w:val="00A00C25"/>
    <w:rsid w:val="00A011B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7A6"/>
    <w:rsid w:val="00A3296C"/>
    <w:rsid w:val="00A32B91"/>
    <w:rsid w:val="00A33A66"/>
    <w:rsid w:val="00A33AA7"/>
    <w:rsid w:val="00A33B0F"/>
    <w:rsid w:val="00A34843"/>
    <w:rsid w:val="00A35936"/>
    <w:rsid w:val="00A35A82"/>
    <w:rsid w:val="00A3660E"/>
    <w:rsid w:val="00A37048"/>
    <w:rsid w:val="00A408B8"/>
    <w:rsid w:val="00A4102C"/>
    <w:rsid w:val="00A410E1"/>
    <w:rsid w:val="00A419EE"/>
    <w:rsid w:val="00A42559"/>
    <w:rsid w:val="00A42BC8"/>
    <w:rsid w:val="00A42F29"/>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3CD"/>
    <w:rsid w:val="00A644C3"/>
    <w:rsid w:val="00A6488C"/>
    <w:rsid w:val="00A64A59"/>
    <w:rsid w:val="00A653F5"/>
    <w:rsid w:val="00A65B7A"/>
    <w:rsid w:val="00A66248"/>
    <w:rsid w:val="00A66A13"/>
    <w:rsid w:val="00A66A1A"/>
    <w:rsid w:val="00A7121A"/>
    <w:rsid w:val="00A71951"/>
    <w:rsid w:val="00A7260F"/>
    <w:rsid w:val="00A72C4A"/>
    <w:rsid w:val="00A74E4E"/>
    <w:rsid w:val="00A75075"/>
    <w:rsid w:val="00A75CEB"/>
    <w:rsid w:val="00A75E35"/>
    <w:rsid w:val="00A76C12"/>
    <w:rsid w:val="00A76DA1"/>
    <w:rsid w:val="00A776E1"/>
    <w:rsid w:val="00A8188C"/>
    <w:rsid w:val="00A82A87"/>
    <w:rsid w:val="00A82ADE"/>
    <w:rsid w:val="00A83D8B"/>
    <w:rsid w:val="00A84FFA"/>
    <w:rsid w:val="00A85C85"/>
    <w:rsid w:val="00A85DE0"/>
    <w:rsid w:val="00A8716A"/>
    <w:rsid w:val="00A90C00"/>
    <w:rsid w:val="00A9144D"/>
    <w:rsid w:val="00A91469"/>
    <w:rsid w:val="00A9248A"/>
    <w:rsid w:val="00A930C5"/>
    <w:rsid w:val="00A938C4"/>
    <w:rsid w:val="00A93AA6"/>
    <w:rsid w:val="00A941D1"/>
    <w:rsid w:val="00A97958"/>
    <w:rsid w:val="00A97AC3"/>
    <w:rsid w:val="00AA0E46"/>
    <w:rsid w:val="00AA161B"/>
    <w:rsid w:val="00AA222A"/>
    <w:rsid w:val="00AA23D1"/>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060B"/>
    <w:rsid w:val="00AC118D"/>
    <w:rsid w:val="00AC1966"/>
    <w:rsid w:val="00AC263B"/>
    <w:rsid w:val="00AC29D6"/>
    <w:rsid w:val="00AC30ED"/>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219"/>
    <w:rsid w:val="00AD54BD"/>
    <w:rsid w:val="00AD5AAA"/>
    <w:rsid w:val="00AD655E"/>
    <w:rsid w:val="00AD6DC9"/>
    <w:rsid w:val="00AD7ABB"/>
    <w:rsid w:val="00AE0131"/>
    <w:rsid w:val="00AE0923"/>
    <w:rsid w:val="00AE14DC"/>
    <w:rsid w:val="00AE1A44"/>
    <w:rsid w:val="00AE2203"/>
    <w:rsid w:val="00AE2486"/>
    <w:rsid w:val="00AE2500"/>
    <w:rsid w:val="00AE2755"/>
    <w:rsid w:val="00AE3A56"/>
    <w:rsid w:val="00AE3B69"/>
    <w:rsid w:val="00AE433A"/>
    <w:rsid w:val="00AE4492"/>
    <w:rsid w:val="00AE4C43"/>
    <w:rsid w:val="00AE4CE1"/>
    <w:rsid w:val="00AE65CF"/>
    <w:rsid w:val="00AE67D1"/>
    <w:rsid w:val="00AE6F74"/>
    <w:rsid w:val="00AE6FDF"/>
    <w:rsid w:val="00AE77AE"/>
    <w:rsid w:val="00AF0176"/>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17E2"/>
    <w:rsid w:val="00B12736"/>
    <w:rsid w:val="00B1276A"/>
    <w:rsid w:val="00B14ED8"/>
    <w:rsid w:val="00B15265"/>
    <w:rsid w:val="00B17CA6"/>
    <w:rsid w:val="00B21E83"/>
    <w:rsid w:val="00B22F24"/>
    <w:rsid w:val="00B22F6A"/>
    <w:rsid w:val="00B234E0"/>
    <w:rsid w:val="00B2414F"/>
    <w:rsid w:val="00B2474F"/>
    <w:rsid w:val="00B25238"/>
    <w:rsid w:val="00B2536D"/>
    <w:rsid w:val="00B26014"/>
    <w:rsid w:val="00B268F2"/>
    <w:rsid w:val="00B27EB2"/>
    <w:rsid w:val="00B3052E"/>
    <w:rsid w:val="00B30B33"/>
    <w:rsid w:val="00B30CA0"/>
    <w:rsid w:val="00B30F5A"/>
    <w:rsid w:val="00B31749"/>
    <w:rsid w:val="00B320F8"/>
    <w:rsid w:val="00B334A4"/>
    <w:rsid w:val="00B339B9"/>
    <w:rsid w:val="00B339FC"/>
    <w:rsid w:val="00B34497"/>
    <w:rsid w:val="00B3453A"/>
    <w:rsid w:val="00B34A3D"/>
    <w:rsid w:val="00B34B6E"/>
    <w:rsid w:val="00B35032"/>
    <w:rsid w:val="00B377EE"/>
    <w:rsid w:val="00B37D6D"/>
    <w:rsid w:val="00B40A83"/>
    <w:rsid w:val="00B415BE"/>
    <w:rsid w:val="00B41700"/>
    <w:rsid w:val="00B41B35"/>
    <w:rsid w:val="00B41CDD"/>
    <w:rsid w:val="00B41EF9"/>
    <w:rsid w:val="00B42645"/>
    <w:rsid w:val="00B43214"/>
    <w:rsid w:val="00B435DF"/>
    <w:rsid w:val="00B43732"/>
    <w:rsid w:val="00B43894"/>
    <w:rsid w:val="00B44405"/>
    <w:rsid w:val="00B45542"/>
    <w:rsid w:val="00B46666"/>
    <w:rsid w:val="00B46851"/>
    <w:rsid w:val="00B46F0C"/>
    <w:rsid w:val="00B50E43"/>
    <w:rsid w:val="00B51C83"/>
    <w:rsid w:val="00B52416"/>
    <w:rsid w:val="00B52C80"/>
    <w:rsid w:val="00B53FF5"/>
    <w:rsid w:val="00B55058"/>
    <w:rsid w:val="00B55DDD"/>
    <w:rsid w:val="00B561CA"/>
    <w:rsid w:val="00B600D1"/>
    <w:rsid w:val="00B6281A"/>
    <w:rsid w:val="00B62CA7"/>
    <w:rsid w:val="00B63213"/>
    <w:rsid w:val="00B63DAC"/>
    <w:rsid w:val="00B6528D"/>
    <w:rsid w:val="00B668AE"/>
    <w:rsid w:val="00B671A1"/>
    <w:rsid w:val="00B67D6A"/>
    <w:rsid w:val="00B70098"/>
    <w:rsid w:val="00B7160C"/>
    <w:rsid w:val="00B71C8D"/>
    <w:rsid w:val="00B72822"/>
    <w:rsid w:val="00B73442"/>
    <w:rsid w:val="00B73A19"/>
    <w:rsid w:val="00B74488"/>
    <w:rsid w:val="00B74B7F"/>
    <w:rsid w:val="00B75068"/>
    <w:rsid w:val="00B754E1"/>
    <w:rsid w:val="00B76028"/>
    <w:rsid w:val="00B77698"/>
    <w:rsid w:val="00B77AD4"/>
    <w:rsid w:val="00B77B14"/>
    <w:rsid w:val="00B80A68"/>
    <w:rsid w:val="00B80BBC"/>
    <w:rsid w:val="00B810C2"/>
    <w:rsid w:val="00B81734"/>
    <w:rsid w:val="00B81E4F"/>
    <w:rsid w:val="00B8276B"/>
    <w:rsid w:val="00B82812"/>
    <w:rsid w:val="00B83554"/>
    <w:rsid w:val="00B83EF9"/>
    <w:rsid w:val="00B846BA"/>
    <w:rsid w:val="00B85398"/>
    <w:rsid w:val="00B85898"/>
    <w:rsid w:val="00B86667"/>
    <w:rsid w:val="00B8766E"/>
    <w:rsid w:val="00B87CB7"/>
    <w:rsid w:val="00B903F6"/>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5FC9"/>
    <w:rsid w:val="00BA629F"/>
    <w:rsid w:val="00BA6992"/>
    <w:rsid w:val="00BA6C1C"/>
    <w:rsid w:val="00BA78A3"/>
    <w:rsid w:val="00BB12C9"/>
    <w:rsid w:val="00BB278A"/>
    <w:rsid w:val="00BB2C98"/>
    <w:rsid w:val="00BB3842"/>
    <w:rsid w:val="00BB3B4F"/>
    <w:rsid w:val="00BB3BBC"/>
    <w:rsid w:val="00BB3CCC"/>
    <w:rsid w:val="00BB6B0A"/>
    <w:rsid w:val="00BB6BFF"/>
    <w:rsid w:val="00BC0D81"/>
    <w:rsid w:val="00BC2C43"/>
    <w:rsid w:val="00BC397A"/>
    <w:rsid w:val="00BC4CAE"/>
    <w:rsid w:val="00BC6073"/>
    <w:rsid w:val="00BC6124"/>
    <w:rsid w:val="00BC631F"/>
    <w:rsid w:val="00BC6A3E"/>
    <w:rsid w:val="00BC6DC4"/>
    <w:rsid w:val="00BC7AC7"/>
    <w:rsid w:val="00BD1A4B"/>
    <w:rsid w:val="00BD1B8A"/>
    <w:rsid w:val="00BD1CB9"/>
    <w:rsid w:val="00BD1DBE"/>
    <w:rsid w:val="00BD2B7A"/>
    <w:rsid w:val="00BD366D"/>
    <w:rsid w:val="00BD3F59"/>
    <w:rsid w:val="00BD463B"/>
    <w:rsid w:val="00BD4EF7"/>
    <w:rsid w:val="00BD50A0"/>
    <w:rsid w:val="00BD5231"/>
    <w:rsid w:val="00BD52A6"/>
    <w:rsid w:val="00BD713A"/>
    <w:rsid w:val="00BD731A"/>
    <w:rsid w:val="00BD7841"/>
    <w:rsid w:val="00BD7D95"/>
    <w:rsid w:val="00BE03FF"/>
    <w:rsid w:val="00BE0A01"/>
    <w:rsid w:val="00BE2028"/>
    <w:rsid w:val="00BE322F"/>
    <w:rsid w:val="00BE35BE"/>
    <w:rsid w:val="00BE399A"/>
    <w:rsid w:val="00BE487C"/>
    <w:rsid w:val="00BE53BE"/>
    <w:rsid w:val="00BE53EF"/>
    <w:rsid w:val="00BE639A"/>
    <w:rsid w:val="00BE6B94"/>
    <w:rsid w:val="00BF079A"/>
    <w:rsid w:val="00BF0A79"/>
    <w:rsid w:val="00BF1186"/>
    <w:rsid w:val="00BF22B3"/>
    <w:rsid w:val="00BF2CC0"/>
    <w:rsid w:val="00BF2F50"/>
    <w:rsid w:val="00BF5926"/>
    <w:rsid w:val="00BF7452"/>
    <w:rsid w:val="00BF7FB1"/>
    <w:rsid w:val="00C0058E"/>
    <w:rsid w:val="00C02301"/>
    <w:rsid w:val="00C03322"/>
    <w:rsid w:val="00C0345F"/>
    <w:rsid w:val="00C0380A"/>
    <w:rsid w:val="00C041DB"/>
    <w:rsid w:val="00C041EC"/>
    <w:rsid w:val="00C04434"/>
    <w:rsid w:val="00C04947"/>
    <w:rsid w:val="00C0574D"/>
    <w:rsid w:val="00C05AB8"/>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2064"/>
    <w:rsid w:val="00C33039"/>
    <w:rsid w:val="00C332B1"/>
    <w:rsid w:val="00C34409"/>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82F"/>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1D01"/>
    <w:rsid w:val="00C93EF4"/>
    <w:rsid w:val="00C94327"/>
    <w:rsid w:val="00C950DF"/>
    <w:rsid w:val="00C96938"/>
    <w:rsid w:val="00CA06A5"/>
    <w:rsid w:val="00CA0A43"/>
    <w:rsid w:val="00CA11B8"/>
    <w:rsid w:val="00CA1C25"/>
    <w:rsid w:val="00CA2DA5"/>
    <w:rsid w:val="00CA31B8"/>
    <w:rsid w:val="00CA32FA"/>
    <w:rsid w:val="00CA3928"/>
    <w:rsid w:val="00CA4FED"/>
    <w:rsid w:val="00CA58D7"/>
    <w:rsid w:val="00CA699A"/>
    <w:rsid w:val="00CA6C09"/>
    <w:rsid w:val="00CA6C78"/>
    <w:rsid w:val="00CA7550"/>
    <w:rsid w:val="00CA784B"/>
    <w:rsid w:val="00CA7A33"/>
    <w:rsid w:val="00CA7CA2"/>
    <w:rsid w:val="00CB20BC"/>
    <w:rsid w:val="00CB32F4"/>
    <w:rsid w:val="00CB34A5"/>
    <w:rsid w:val="00CB3D5F"/>
    <w:rsid w:val="00CB4DA0"/>
    <w:rsid w:val="00CB50A4"/>
    <w:rsid w:val="00CB5962"/>
    <w:rsid w:val="00CC0699"/>
    <w:rsid w:val="00CC1180"/>
    <w:rsid w:val="00CC135C"/>
    <w:rsid w:val="00CC24F0"/>
    <w:rsid w:val="00CC2F29"/>
    <w:rsid w:val="00CC32A8"/>
    <w:rsid w:val="00CC389A"/>
    <w:rsid w:val="00CC3E63"/>
    <w:rsid w:val="00CC43ED"/>
    <w:rsid w:val="00CC58AD"/>
    <w:rsid w:val="00CC6B33"/>
    <w:rsid w:val="00CC6ECC"/>
    <w:rsid w:val="00CC700D"/>
    <w:rsid w:val="00CC7CA1"/>
    <w:rsid w:val="00CD0682"/>
    <w:rsid w:val="00CD0875"/>
    <w:rsid w:val="00CD0E0A"/>
    <w:rsid w:val="00CD1F58"/>
    <w:rsid w:val="00CD2CFD"/>
    <w:rsid w:val="00CD2D45"/>
    <w:rsid w:val="00CD2DA3"/>
    <w:rsid w:val="00CD3B4F"/>
    <w:rsid w:val="00CD3E1E"/>
    <w:rsid w:val="00CD5548"/>
    <w:rsid w:val="00CD56E0"/>
    <w:rsid w:val="00CD5A46"/>
    <w:rsid w:val="00CD6502"/>
    <w:rsid w:val="00CD67AC"/>
    <w:rsid w:val="00CD6846"/>
    <w:rsid w:val="00CD6CFC"/>
    <w:rsid w:val="00CD7F88"/>
    <w:rsid w:val="00CE0B9B"/>
    <w:rsid w:val="00CE340D"/>
    <w:rsid w:val="00CE3646"/>
    <w:rsid w:val="00CE4AFE"/>
    <w:rsid w:val="00CE4BD2"/>
    <w:rsid w:val="00CE514E"/>
    <w:rsid w:val="00CE59CD"/>
    <w:rsid w:val="00CE5CAC"/>
    <w:rsid w:val="00CE708D"/>
    <w:rsid w:val="00CE7C02"/>
    <w:rsid w:val="00CE7EA6"/>
    <w:rsid w:val="00CF0AA7"/>
    <w:rsid w:val="00CF151D"/>
    <w:rsid w:val="00CF1C00"/>
    <w:rsid w:val="00CF3DAA"/>
    <w:rsid w:val="00CF3F29"/>
    <w:rsid w:val="00CF4428"/>
    <w:rsid w:val="00CF761E"/>
    <w:rsid w:val="00D00F11"/>
    <w:rsid w:val="00D01104"/>
    <w:rsid w:val="00D01BEA"/>
    <w:rsid w:val="00D01F3F"/>
    <w:rsid w:val="00D038E7"/>
    <w:rsid w:val="00D043B3"/>
    <w:rsid w:val="00D043CF"/>
    <w:rsid w:val="00D04A7D"/>
    <w:rsid w:val="00D051AC"/>
    <w:rsid w:val="00D059AA"/>
    <w:rsid w:val="00D05A8F"/>
    <w:rsid w:val="00D060ED"/>
    <w:rsid w:val="00D06665"/>
    <w:rsid w:val="00D0739A"/>
    <w:rsid w:val="00D1030A"/>
    <w:rsid w:val="00D10405"/>
    <w:rsid w:val="00D10479"/>
    <w:rsid w:val="00D10574"/>
    <w:rsid w:val="00D11D8A"/>
    <w:rsid w:val="00D120F3"/>
    <w:rsid w:val="00D13DC3"/>
    <w:rsid w:val="00D14895"/>
    <w:rsid w:val="00D15932"/>
    <w:rsid w:val="00D15F6E"/>
    <w:rsid w:val="00D16E59"/>
    <w:rsid w:val="00D17616"/>
    <w:rsid w:val="00D20BAC"/>
    <w:rsid w:val="00D21E7F"/>
    <w:rsid w:val="00D222C6"/>
    <w:rsid w:val="00D22593"/>
    <w:rsid w:val="00D246B0"/>
    <w:rsid w:val="00D252BB"/>
    <w:rsid w:val="00D25385"/>
    <w:rsid w:val="00D2555F"/>
    <w:rsid w:val="00D25EE8"/>
    <w:rsid w:val="00D26AFA"/>
    <w:rsid w:val="00D30F6C"/>
    <w:rsid w:val="00D31112"/>
    <w:rsid w:val="00D321C3"/>
    <w:rsid w:val="00D336CE"/>
    <w:rsid w:val="00D33E62"/>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46A"/>
    <w:rsid w:val="00D46EB4"/>
    <w:rsid w:val="00D471A3"/>
    <w:rsid w:val="00D475F2"/>
    <w:rsid w:val="00D479CC"/>
    <w:rsid w:val="00D479DB"/>
    <w:rsid w:val="00D47CFF"/>
    <w:rsid w:val="00D50605"/>
    <w:rsid w:val="00D50A49"/>
    <w:rsid w:val="00D5228F"/>
    <w:rsid w:val="00D5231E"/>
    <w:rsid w:val="00D526DC"/>
    <w:rsid w:val="00D536E4"/>
    <w:rsid w:val="00D53C47"/>
    <w:rsid w:val="00D53C51"/>
    <w:rsid w:val="00D54007"/>
    <w:rsid w:val="00D54242"/>
    <w:rsid w:val="00D54614"/>
    <w:rsid w:val="00D54A9D"/>
    <w:rsid w:val="00D54F28"/>
    <w:rsid w:val="00D55017"/>
    <w:rsid w:val="00D559AA"/>
    <w:rsid w:val="00D566E7"/>
    <w:rsid w:val="00D5799E"/>
    <w:rsid w:val="00D57B9B"/>
    <w:rsid w:val="00D6035A"/>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16E"/>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873DB"/>
    <w:rsid w:val="00D901BB"/>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49CD"/>
    <w:rsid w:val="00DA53EC"/>
    <w:rsid w:val="00DA5CEE"/>
    <w:rsid w:val="00DA5DE0"/>
    <w:rsid w:val="00DA6729"/>
    <w:rsid w:val="00DA714C"/>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C5F05"/>
    <w:rsid w:val="00DD12E9"/>
    <w:rsid w:val="00DD1F55"/>
    <w:rsid w:val="00DD2AFF"/>
    <w:rsid w:val="00DD4E94"/>
    <w:rsid w:val="00DD508E"/>
    <w:rsid w:val="00DD59CE"/>
    <w:rsid w:val="00DD69AC"/>
    <w:rsid w:val="00DE0C93"/>
    <w:rsid w:val="00DE10BC"/>
    <w:rsid w:val="00DE3AC3"/>
    <w:rsid w:val="00DE48AA"/>
    <w:rsid w:val="00DE4A9B"/>
    <w:rsid w:val="00DE4AFF"/>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3126"/>
    <w:rsid w:val="00E044A9"/>
    <w:rsid w:val="00E047A0"/>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09BB"/>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222"/>
    <w:rsid w:val="00E51506"/>
    <w:rsid w:val="00E51EF8"/>
    <w:rsid w:val="00E52833"/>
    <w:rsid w:val="00E53F95"/>
    <w:rsid w:val="00E54AF0"/>
    <w:rsid w:val="00E55480"/>
    <w:rsid w:val="00E563FA"/>
    <w:rsid w:val="00E5682B"/>
    <w:rsid w:val="00E573C4"/>
    <w:rsid w:val="00E57EEE"/>
    <w:rsid w:val="00E609F1"/>
    <w:rsid w:val="00E613FE"/>
    <w:rsid w:val="00E6222F"/>
    <w:rsid w:val="00E62D1C"/>
    <w:rsid w:val="00E62FE9"/>
    <w:rsid w:val="00E63AF9"/>
    <w:rsid w:val="00E65198"/>
    <w:rsid w:val="00E6532B"/>
    <w:rsid w:val="00E65C8C"/>
    <w:rsid w:val="00E67345"/>
    <w:rsid w:val="00E67D81"/>
    <w:rsid w:val="00E7028A"/>
    <w:rsid w:val="00E705B7"/>
    <w:rsid w:val="00E71D60"/>
    <w:rsid w:val="00E71FD7"/>
    <w:rsid w:val="00E723D9"/>
    <w:rsid w:val="00E726E0"/>
    <w:rsid w:val="00E72761"/>
    <w:rsid w:val="00E72F45"/>
    <w:rsid w:val="00E73E23"/>
    <w:rsid w:val="00E7542A"/>
    <w:rsid w:val="00E75C44"/>
    <w:rsid w:val="00E768E5"/>
    <w:rsid w:val="00E76E51"/>
    <w:rsid w:val="00E777D5"/>
    <w:rsid w:val="00E77AD1"/>
    <w:rsid w:val="00E80B35"/>
    <w:rsid w:val="00E812E1"/>
    <w:rsid w:val="00E8175C"/>
    <w:rsid w:val="00E81816"/>
    <w:rsid w:val="00E826E0"/>
    <w:rsid w:val="00E82F72"/>
    <w:rsid w:val="00E84A95"/>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0938"/>
    <w:rsid w:val="00EB0FC5"/>
    <w:rsid w:val="00EB11D6"/>
    <w:rsid w:val="00EB2029"/>
    <w:rsid w:val="00EB35BF"/>
    <w:rsid w:val="00EB425A"/>
    <w:rsid w:val="00EB4822"/>
    <w:rsid w:val="00EB5660"/>
    <w:rsid w:val="00EB56D6"/>
    <w:rsid w:val="00EB597E"/>
    <w:rsid w:val="00EB6A4C"/>
    <w:rsid w:val="00EB6CFF"/>
    <w:rsid w:val="00EB72A7"/>
    <w:rsid w:val="00EC06BA"/>
    <w:rsid w:val="00EC0CC3"/>
    <w:rsid w:val="00EC0EA7"/>
    <w:rsid w:val="00EC1B6B"/>
    <w:rsid w:val="00EC3A5A"/>
    <w:rsid w:val="00EC4567"/>
    <w:rsid w:val="00EC57B9"/>
    <w:rsid w:val="00EC6A44"/>
    <w:rsid w:val="00EC6EEF"/>
    <w:rsid w:val="00ED09D8"/>
    <w:rsid w:val="00ED12BF"/>
    <w:rsid w:val="00ED2A82"/>
    <w:rsid w:val="00ED2E52"/>
    <w:rsid w:val="00ED32DB"/>
    <w:rsid w:val="00ED39F8"/>
    <w:rsid w:val="00ED3D5C"/>
    <w:rsid w:val="00ED3DD2"/>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357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07757"/>
    <w:rsid w:val="00F120A8"/>
    <w:rsid w:val="00F13B69"/>
    <w:rsid w:val="00F13E72"/>
    <w:rsid w:val="00F14C6A"/>
    <w:rsid w:val="00F174CE"/>
    <w:rsid w:val="00F1793C"/>
    <w:rsid w:val="00F232E1"/>
    <w:rsid w:val="00F23D58"/>
    <w:rsid w:val="00F23F9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945"/>
    <w:rsid w:val="00F44F0E"/>
    <w:rsid w:val="00F45BD4"/>
    <w:rsid w:val="00F45CC5"/>
    <w:rsid w:val="00F4643E"/>
    <w:rsid w:val="00F46B2E"/>
    <w:rsid w:val="00F47179"/>
    <w:rsid w:val="00F47CA9"/>
    <w:rsid w:val="00F501A3"/>
    <w:rsid w:val="00F50C6B"/>
    <w:rsid w:val="00F50F38"/>
    <w:rsid w:val="00F52091"/>
    <w:rsid w:val="00F53C95"/>
    <w:rsid w:val="00F53DF7"/>
    <w:rsid w:val="00F55E68"/>
    <w:rsid w:val="00F56CF5"/>
    <w:rsid w:val="00F57AD9"/>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B67"/>
    <w:rsid w:val="00F73CB5"/>
    <w:rsid w:val="00F75542"/>
    <w:rsid w:val="00F75782"/>
    <w:rsid w:val="00F76411"/>
    <w:rsid w:val="00F76A34"/>
    <w:rsid w:val="00F80559"/>
    <w:rsid w:val="00F807D3"/>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1CAC"/>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385C"/>
    <w:rsid w:val="00FA411E"/>
    <w:rsid w:val="00FA4228"/>
    <w:rsid w:val="00FA42CB"/>
    <w:rsid w:val="00FA639D"/>
    <w:rsid w:val="00FA7116"/>
    <w:rsid w:val="00FA7DA5"/>
    <w:rsid w:val="00FB0CB7"/>
    <w:rsid w:val="00FB0D66"/>
    <w:rsid w:val="00FB0EE1"/>
    <w:rsid w:val="00FB1E34"/>
    <w:rsid w:val="00FB416C"/>
    <w:rsid w:val="00FB46AE"/>
    <w:rsid w:val="00FB5A8E"/>
    <w:rsid w:val="00FB6EE6"/>
    <w:rsid w:val="00FB71F4"/>
    <w:rsid w:val="00FB7680"/>
    <w:rsid w:val="00FC03C9"/>
    <w:rsid w:val="00FC1390"/>
    <w:rsid w:val="00FC1B70"/>
    <w:rsid w:val="00FC1BCE"/>
    <w:rsid w:val="00FC3E28"/>
    <w:rsid w:val="00FC3E51"/>
    <w:rsid w:val="00FC526B"/>
    <w:rsid w:val="00FC5AAA"/>
    <w:rsid w:val="00FC63A8"/>
    <w:rsid w:val="00FC63F8"/>
    <w:rsid w:val="00FC6504"/>
    <w:rsid w:val="00FC78BF"/>
    <w:rsid w:val="00FD00D2"/>
    <w:rsid w:val="00FD1889"/>
    <w:rsid w:val="00FD224C"/>
    <w:rsid w:val="00FD32D7"/>
    <w:rsid w:val="00FD34D8"/>
    <w:rsid w:val="00FD4853"/>
    <w:rsid w:val="00FD588A"/>
    <w:rsid w:val="00FD631C"/>
    <w:rsid w:val="00FD6B30"/>
    <w:rsid w:val="00FD72F7"/>
    <w:rsid w:val="00FD754A"/>
    <w:rsid w:val="00FD79EA"/>
    <w:rsid w:val="00FD7ABD"/>
    <w:rsid w:val="00FE115A"/>
    <w:rsid w:val="00FE136A"/>
    <w:rsid w:val="00FE1B9C"/>
    <w:rsid w:val="00FE240F"/>
    <w:rsid w:val="00FE3215"/>
    <w:rsid w:val="00FE42A4"/>
    <w:rsid w:val="00FE478C"/>
    <w:rsid w:val="00FE4B3D"/>
    <w:rsid w:val="00FE50B2"/>
    <w:rsid w:val="00FE5CCF"/>
    <w:rsid w:val="00FE61DA"/>
    <w:rsid w:val="00FE6582"/>
    <w:rsid w:val="00FE65BC"/>
    <w:rsid w:val="00FE6AD4"/>
    <w:rsid w:val="00FE7029"/>
    <w:rsid w:val="00FE7230"/>
    <w:rsid w:val="00FF0B13"/>
    <w:rsid w:val="00FF0CEB"/>
    <w:rsid w:val="00FF17DA"/>
    <w:rsid w:val="00FF1A65"/>
    <w:rsid w:val="00FF1D89"/>
    <w:rsid w:val="00FF449B"/>
    <w:rsid w:val="00FF4896"/>
    <w:rsid w:val="00FF56F8"/>
    <w:rsid w:val="00FF6A05"/>
    <w:rsid w:val="00FF6BBC"/>
    <w:rsid w:val="01234426"/>
    <w:rsid w:val="01D95223"/>
    <w:rsid w:val="02A71AEC"/>
    <w:rsid w:val="02D053CD"/>
    <w:rsid w:val="03B56D73"/>
    <w:rsid w:val="03BD3559"/>
    <w:rsid w:val="03CC3A64"/>
    <w:rsid w:val="04E478AB"/>
    <w:rsid w:val="04F164A7"/>
    <w:rsid w:val="05FD31FE"/>
    <w:rsid w:val="064C4F63"/>
    <w:rsid w:val="069D44BA"/>
    <w:rsid w:val="075A2A7B"/>
    <w:rsid w:val="077838FA"/>
    <w:rsid w:val="07FB5644"/>
    <w:rsid w:val="0822758F"/>
    <w:rsid w:val="08313B80"/>
    <w:rsid w:val="083D72E7"/>
    <w:rsid w:val="097F5F89"/>
    <w:rsid w:val="098A0C99"/>
    <w:rsid w:val="0A2B3F65"/>
    <w:rsid w:val="0A477811"/>
    <w:rsid w:val="0AAF03A3"/>
    <w:rsid w:val="0ABB67CE"/>
    <w:rsid w:val="0B754832"/>
    <w:rsid w:val="0BA80258"/>
    <w:rsid w:val="0C3948A8"/>
    <w:rsid w:val="0CB83490"/>
    <w:rsid w:val="0D057A5C"/>
    <w:rsid w:val="0D427B70"/>
    <w:rsid w:val="0DF4150B"/>
    <w:rsid w:val="0E9D5567"/>
    <w:rsid w:val="0F5C5F40"/>
    <w:rsid w:val="0FB26250"/>
    <w:rsid w:val="10124978"/>
    <w:rsid w:val="10B06A92"/>
    <w:rsid w:val="118C2D3C"/>
    <w:rsid w:val="11B20C9C"/>
    <w:rsid w:val="12416A8A"/>
    <w:rsid w:val="12F8325C"/>
    <w:rsid w:val="13036A3A"/>
    <w:rsid w:val="13503380"/>
    <w:rsid w:val="13E17D9B"/>
    <w:rsid w:val="14B51D63"/>
    <w:rsid w:val="14B55E2A"/>
    <w:rsid w:val="151A0933"/>
    <w:rsid w:val="151E1392"/>
    <w:rsid w:val="16226CEC"/>
    <w:rsid w:val="1783171A"/>
    <w:rsid w:val="18F3458F"/>
    <w:rsid w:val="194A5B2D"/>
    <w:rsid w:val="19AE3215"/>
    <w:rsid w:val="1A6B6162"/>
    <w:rsid w:val="1BC917BB"/>
    <w:rsid w:val="1D9E7C25"/>
    <w:rsid w:val="1DE166EC"/>
    <w:rsid w:val="1E25399D"/>
    <w:rsid w:val="1E694D4C"/>
    <w:rsid w:val="1E780B21"/>
    <w:rsid w:val="1EA62A71"/>
    <w:rsid w:val="1ED64A0A"/>
    <w:rsid w:val="20EA51D1"/>
    <w:rsid w:val="210C3C73"/>
    <w:rsid w:val="220E2ECD"/>
    <w:rsid w:val="229B58CD"/>
    <w:rsid w:val="22A93DD5"/>
    <w:rsid w:val="23454FED"/>
    <w:rsid w:val="238E1A06"/>
    <w:rsid w:val="23A21C95"/>
    <w:rsid w:val="23B7553F"/>
    <w:rsid w:val="25A01FC5"/>
    <w:rsid w:val="25A42B28"/>
    <w:rsid w:val="25FD3B8C"/>
    <w:rsid w:val="267403B3"/>
    <w:rsid w:val="276C766A"/>
    <w:rsid w:val="27F15D9C"/>
    <w:rsid w:val="28074863"/>
    <w:rsid w:val="28AE4A0B"/>
    <w:rsid w:val="29205AB8"/>
    <w:rsid w:val="2BF4376B"/>
    <w:rsid w:val="2C03670A"/>
    <w:rsid w:val="2CAE5761"/>
    <w:rsid w:val="2CED5DE2"/>
    <w:rsid w:val="2CFF5D99"/>
    <w:rsid w:val="2D2C6371"/>
    <w:rsid w:val="2E016B8B"/>
    <w:rsid w:val="2E292A27"/>
    <w:rsid w:val="30542D52"/>
    <w:rsid w:val="3070755C"/>
    <w:rsid w:val="30C67B9E"/>
    <w:rsid w:val="31D05CA5"/>
    <w:rsid w:val="31FF209B"/>
    <w:rsid w:val="328F205F"/>
    <w:rsid w:val="32CF408C"/>
    <w:rsid w:val="3390757C"/>
    <w:rsid w:val="33A14D9B"/>
    <w:rsid w:val="33F21B00"/>
    <w:rsid w:val="34170FAE"/>
    <w:rsid w:val="342E35DF"/>
    <w:rsid w:val="348426A5"/>
    <w:rsid w:val="35FF3780"/>
    <w:rsid w:val="37222096"/>
    <w:rsid w:val="3759692C"/>
    <w:rsid w:val="38086121"/>
    <w:rsid w:val="39CD39B7"/>
    <w:rsid w:val="3A4F2DF7"/>
    <w:rsid w:val="3A6A78BF"/>
    <w:rsid w:val="3AAC69E7"/>
    <w:rsid w:val="3AD76819"/>
    <w:rsid w:val="3B55051D"/>
    <w:rsid w:val="3BE528E8"/>
    <w:rsid w:val="3C041E8C"/>
    <w:rsid w:val="3C4B6B70"/>
    <w:rsid w:val="3C6556E1"/>
    <w:rsid w:val="3CB26D83"/>
    <w:rsid w:val="3D977566"/>
    <w:rsid w:val="3DB97C64"/>
    <w:rsid w:val="3E4167E0"/>
    <w:rsid w:val="3E5D2F50"/>
    <w:rsid w:val="3E861031"/>
    <w:rsid w:val="3F50730D"/>
    <w:rsid w:val="3F732CAD"/>
    <w:rsid w:val="3FF82C7A"/>
    <w:rsid w:val="4030015B"/>
    <w:rsid w:val="40FD1749"/>
    <w:rsid w:val="415660D0"/>
    <w:rsid w:val="41A41778"/>
    <w:rsid w:val="41FF02C1"/>
    <w:rsid w:val="429C4E56"/>
    <w:rsid w:val="437301A1"/>
    <w:rsid w:val="43805082"/>
    <w:rsid w:val="44102511"/>
    <w:rsid w:val="443D2336"/>
    <w:rsid w:val="444C5CD1"/>
    <w:rsid w:val="44A93959"/>
    <w:rsid w:val="44B36F30"/>
    <w:rsid w:val="44BA3385"/>
    <w:rsid w:val="44CA3B5A"/>
    <w:rsid w:val="45292431"/>
    <w:rsid w:val="467455F3"/>
    <w:rsid w:val="46B34489"/>
    <w:rsid w:val="476969BE"/>
    <w:rsid w:val="47794455"/>
    <w:rsid w:val="4780035B"/>
    <w:rsid w:val="478B3EE5"/>
    <w:rsid w:val="48935D8C"/>
    <w:rsid w:val="48D57376"/>
    <w:rsid w:val="49315E23"/>
    <w:rsid w:val="49E66767"/>
    <w:rsid w:val="4A1E02D0"/>
    <w:rsid w:val="4A2F1DAC"/>
    <w:rsid w:val="4A4F08D2"/>
    <w:rsid w:val="4B0C1485"/>
    <w:rsid w:val="4B2744F0"/>
    <w:rsid w:val="4BA97879"/>
    <w:rsid w:val="4BDD1375"/>
    <w:rsid w:val="4C7A4EC9"/>
    <w:rsid w:val="4CC5508E"/>
    <w:rsid w:val="4DD827C4"/>
    <w:rsid w:val="4E081BA3"/>
    <w:rsid w:val="4E1223A7"/>
    <w:rsid w:val="4E1B3A05"/>
    <w:rsid w:val="4E1F58F6"/>
    <w:rsid w:val="4E29726F"/>
    <w:rsid w:val="4E2F02A1"/>
    <w:rsid w:val="500A299E"/>
    <w:rsid w:val="501101D8"/>
    <w:rsid w:val="508D24D4"/>
    <w:rsid w:val="50C1689E"/>
    <w:rsid w:val="50D911DD"/>
    <w:rsid w:val="50DE1AD8"/>
    <w:rsid w:val="50E53737"/>
    <w:rsid w:val="51432C46"/>
    <w:rsid w:val="52530232"/>
    <w:rsid w:val="5254321E"/>
    <w:rsid w:val="52624EAB"/>
    <w:rsid w:val="528C5CD4"/>
    <w:rsid w:val="533E6A96"/>
    <w:rsid w:val="53E8704E"/>
    <w:rsid w:val="54182141"/>
    <w:rsid w:val="543957D1"/>
    <w:rsid w:val="54BE1FB9"/>
    <w:rsid w:val="54F002E3"/>
    <w:rsid w:val="55482952"/>
    <w:rsid w:val="55BA5175"/>
    <w:rsid w:val="5606720A"/>
    <w:rsid w:val="564334E7"/>
    <w:rsid w:val="567B46F5"/>
    <w:rsid w:val="568D7462"/>
    <w:rsid w:val="5718422D"/>
    <w:rsid w:val="577E7371"/>
    <w:rsid w:val="579F61A9"/>
    <w:rsid w:val="58127108"/>
    <w:rsid w:val="58206E3F"/>
    <w:rsid w:val="588F08FA"/>
    <w:rsid w:val="592A2799"/>
    <w:rsid w:val="59936F36"/>
    <w:rsid w:val="5A05330D"/>
    <w:rsid w:val="5AB413F5"/>
    <w:rsid w:val="5B3D21DD"/>
    <w:rsid w:val="5BAB5A3B"/>
    <w:rsid w:val="5C0E3A34"/>
    <w:rsid w:val="5C452C58"/>
    <w:rsid w:val="5D4D4E63"/>
    <w:rsid w:val="5DD611D9"/>
    <w:rsid w:val="5E484261"/>
    <w:rsid w:val="5EA67242"/>
    <w:rsid w:val="5F3F4D92"/>
    <w:rsid w:val="60AE1A84"/>
    <w:rsid w:val="61C845D6"/>
    <w:rsid w:val="61DA1C9B"/>
    <w:rsid w:val="61EA20BC"/>
    <w:rsid w:val="62ED1197"/>
    <w:rsid w:val="635F1F03"/>
    <w:rsid w:val="636A56B3"/>
    <w:rsid w:val="63A32486"/>
    <w:rsid w:val="63D36139"/>
    <w:rsid w:val="64505B48"/>
    <w:rsid w:val="653E60A6"/>
    <w:rsid w:val="66826CE6"/>
    <w:rsid w:val="6683490B"/>
    <w:rsid w:val="67E52CAD"/>
    <w:rsid w:val="67E96292"/>
    <w:rsid w:val="685873C5"/>
    <w:rsid w:val="68A41691"/>
    <w:rsid w:val="68DA4AC9"/>
    <w:rsid w:val="69337E86"/>
    <w:rsid w:val="693D2D8D"/>
    <w:rsid w:val="6A8A0AB8"/>
    <w:rsid w:val="6AC552B3"/>
    <w:rsid w:val="6AFC2413"/>
    <w:rsid w:val="6C3A7A22"/>
    <w:rsid w:val="6CE26E88"/>
    <w:rsid w:val="6DF420AA"/>
    <w:rsid w:val="6E18065A"/>
    <w:rsid w:val="6E8E12EF"/>
    <w:rsid w:val="6F1E24F8"/>
    <w:rsid w:val="6F255736"/>
    <w:rsid w:val="6F3F1B68"/>
    <w:rsid w:val="6F3F7F48"/>
    <w:rsid w:val="6F775AB8"/>
    <w:rsid w:val="70C0050B"/>
    <w:rsid w:val="70DA7783"/>
    <w:rsid w:val="71346F76"/>
    <w:rsid w:val="71731991"/>
    <w:rsid w:val="722E1B2B"/>
    <w:rsid w:val="72674F59"/>
    <w:rsid w:val="731A01C7"/>
    <w:rsid w:val="73382DAE"/>
    <w:rsid w:val="746E74A6"/>
    <w:rsid w:val="7487382A"/>
    <w:rsid w:val="74AC783C"/>
    <w:rsid w:val="7681674A"/>
    <w:rsid w:val="76BE03F9"/>
    <w:rsid w:val="774737A1"/>
    <w:rsid w:val="77860CE6"/>
    <w:rsid w:val="77E056A0"/>
    <w:rsid w:val="787228C6"/>
    <w:rsid w:val="78A43670"/>
    <w:rsid w:val="78C328A3"/>
    <w:rsid w:val="7A6042E4"/>
    <w:rsid w:val="7AB913E9"/>
    <w:rsid w:val="7AC82038"/>
    <w:rsid w:val="7B11404E"/>
    <w:rsid w:val="7BF041F8"/>
    <w:rsid w:val="7DF74479"/>
    <w:rsid w:val="7E8D63E8"/>
    <w:rsid w:val="7EA90D0F"/>
    <w:rsid w:val="7EC93B4D"/>
    <w:rsid w:val="7FB0205B"/>
    <w:rsid w:val="7FB847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列出段落1"/>
    <w:basedOn w:val="1"/>
    <w:link w:val="37"/>
    <w:qFormat/>
    <w:uiPriority w:val="0"/>
    <w:pPr>
      <w:ind w:firstLine="420" w:firstLineChars="200"/>
    </w:pPr>
    <w:rPr>
      <w:rFonts w:ascii="Calibri" w:hAnsi="Calibri"/>
      <w:szCs w:val="22"/>
    </w:rPr>
  </w:style>
  <w:style w:type="character" w:customStyle="1" w:styleId="39">
    <w:name w:val="纯文本 字符"/>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字符"/>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字符"/>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字符"/>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字符"/>
    <w:link w:val="21"/>
    <w:qFormat/>
    <w:uiPriority w:val="99"/>
    <w:rPr>
      <w:kern w:val="2"/>
      <w:sz w:val="18"/>
      <w:szCs w:val="18"/>
    </w:rPr>
  </w:style>
  <w:style w:type="character" w:customStyle="1" w:styleId="51">
    <w:name w:val="标题 5 字符"/>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字符"/>
    <w:link w:val="5"/>
    <w:qFormat/>
    <w:uiPriority w:val="9"/>
    <w:rPr>
      <w:rFonts w:ascii="Arial" w:hAnsi="Arial"/>
      <w:b/>
      <w:kern w:val="2"/>
      <w:sz w:val="32"/>
    </w:rPr>
  </w:style>
  <w:style w:type="character" w:customStyle="1" w:styleId="54">
    <w:name w:val="style4"/>
    <w:qFormat/>
    <w:uiPriority w:val="0"/>
  </w:style>
  <w:style w:type="character" w:customStyle="1" w:styleId="55">
    <w:name w:val="标题 4 字符"/>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字符"/>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styleId="8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JSOU</Company>
  <Pages>20</Pages>
  <Words>1421</Words>
  <Characters>8104</Characters>
  <Lines>67</Lines>
  <Paragraphs>19</Paragraphs>
  <TotalTime>2</TotalTime>
  <ScaleCrop>false</ScaleCrop>
  <LinksUpToDate>false</LinksUpToDate>
  <CharactersWithSpaces>9506</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2018-11-15T00:37:00Z</dcterms:created>
  <dc:creator>xiaolu1404095211</dc:creator>
  <cp:lastModifiedBy>xiaolu1404095211</cp:lastModifiedBy>
  <cp:lastPrinted>2016-07-10T02:09:00Z</cp:lastPrinted>
  <dcterms:modified xsi:type="dcterms:W3CDTF">2018-11-28T09:30:43Z</dcterms:modified>
  <dc:title>淮阴师范学院招标文件</dc:title>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