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1CB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z w:val="44"/>
          <w:szCs w:val="44"/>
        </w:rPr>
      </w:pPr>
      <w:r>
        <w:rPr>
          <w:rFonts w:hint="default" w:ascii="Times New Roman" w:hAnsi="Times New Roman" w:eastAsia="方正仿宋_GBK" w:cs="Times New Roman"/>
          <w:b/>
          <w:bCs/>
          <w:sz w:val="44"/>
          <w:szCs w:val="44"/>
        </w:rPr>
        <w:t>江苏开放大学浦口校区综合布线工程项目需求主要内容</w:t>
      </w:r>
    </w:p>
    <w:p w14:paraId="3BED8B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一、项目名称</w:t>
      </w:r>
      <w:r>
        <w:rPr>
          <w:rFonts w:hint="default" w:ascii="Times New Roman" w:hAnsi="Times New Roman" w:eastAsia="方正仿宋_GBK" w:cs="Times New Roman"/>
          <w:sz w:val="32"/>
          <w:szCs w:val="32"/>
        </w:rPr>
        <w:t>：江苏开放大学浦口校区综合布线工程项目</w:t>
      </w:r>
    </w:p>
    <w:p w14:paraId="0D92A4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二、项目概况: </w:t>
      </w:r>
    </w:p>
    <w:p w14:paraId="4A9EC6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1.江苏开放大学浦口校区综合布线工程项目。</w:t>
      </w:r>
    </w:p>
    <w:p w14:paraId="5165270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2.工程地点：浦口校区</w:t>
      </w:r>
    </w:p>
    <w:p w14:paraId="38868E1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3.工程内容：详见工程量清单</w:t>
      </w:r>
    </w:p>
    <w:p w14:paraId="473811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三、资格条件：</w:t>
      </w:r>
    </w:p>
    <w:p w14:paraId="17758E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（一）满足《中华人民共和国政府采购法》第二十二条规定：</w:t>
      </w:r>
    </w:p>
    <w:p w14:paraId="44A78D1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1、供应商应具有独立法人资格（提供法人或者其他组织的营业执照复印件加盖公章）；</w:t>
      </w:r>
    </w:p>
    <w:p w14:paraId="21344B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2、具有良好的商业信誉和健全的财务会计制度（提供本次采购活动前的财务状况报告复印件加盖公章，法人或者其他组织成立未满一年的可以不提供）；</w:t>
      </w:r>
    </w:p>
    <w:p w14:paraId="3C5C556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3、具有履行合同所必需的设备和专业技术能力（提供履行合同所必需的设备和专业技术能力的声明及证明材料复印件加盖公章）；</w:t>
      </w:r>
    </w:p>
    <w:p w14:paraId="705E08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4、有依法缴纳税收和社会保障资金的良好记录（提供参加本次采购活动前一年内至少一个月依法缴纳税收和社会保障资金的相关材料复印件加盖公章）；</w:t>
      </w:r>
    </w:p>
    <w:p w14:paraId="4954E4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5、参加本项目前三年内，在经营活动中没有重大违法记录（提供承诺书并加盖公章）；</w:t>
      </w:r>
    </w:p>
    <w:p w14:paraId="62B0BA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6、法律、行政法规规定的其他条件。</w:t>
      </w:r>
    </w:p>
    <w:p w14:paraId="6E7C5BD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（二）落实政府采购政策需满足的资格要求： </w:t>
      </w:r>
    </w:p>
    <w:p w14:paraId="43E7E5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无（本项目非专门面向中小微企业）</w:t>
      </w:r>
    </w:p>
    <w:p w14:paraId="43CCFA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（三）采购人根据采购项目的特殊要求规定的特定条件：</w:t>
      </w:r>
    </w:p>
    <w:p w14:paraId="08507B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（1）供应商具有施工总承包通信工程二级(含)以上（提供有效的证书复印件加盖供应商公章）；</w:t>
      </w:r>
    </w:p>
    <w:p w14:paraId="274A56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bookmarkStart w:id="0" w:name="_GoBack"/>
      <w:bookmarkEnd w:id="0"/>
      <w:r>
        <w:rPr>
          <w:rFonts w:hint="default" w:ascii="Times New Roman" w:hAnsi="Times New Roman" w:eastAsia="方正仿宋_GBK" w:cs="Times New Roman"/>
          <w:sz w:val="32"/>
          <w:szCs w:val="32"/>
        </w:rPr>
        <w:t>项目</w:t>
      </w:r>
      <w:r>
        <w:rPr>
          <w:rFonts w:hint="eastAsia" w:ascii="Times New Roman" w:hAnsi="Times New Roman" w:eastAsia="方正仿宋_GBK" w:cs="Times New Roman"/>
          <w:sz w:val="32"/>
          <w:szCs w:val="32"/>
          <w:lang w:val="en-US" w:eastAsia="zh-CN"/>
        </w:rPr>
        <w:t>经理</w:t>
      </w:r>
      <w:r>
        <w:rPr>
          <w:rFonts w:hint="default" w:ascii="Times New Roman" w:hAnsi="Times New Roman" w:eastAsia="方正仿宋_GBK" w:cs="Times New Roman"/>
          <w:sz w:val="32"/>
          <w:szCs w:val="32"/>
        </w:rPr>
        <w:t xml:space="preserve">具有注册建造师证（建筑工程或机电工程或通信与广电工程专业）二级(含)以上资质且具有安全生产考核合格证书（B类）（提供有效的证书复印件加盖公章）； </w:t>
      </w:r>
    </w:p>
    <w:p w14:paraId="746E81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供应商必须提供拟投入本工程项目经理的社保机构出具的近半年（2025年7月-2025年12月）供应商为其缴纳的养老保险缴费证明（需明确缴费月份、个人姓名、缴费单位）材料并加盖社保中心章或社保中心参保缴费证明电子专用章（提供证明材料）。</w:t>
      </w:r>
    </w:p>
    <w:p w14:paraId="7432F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（4）供应商必须提供所报本工程的项目经理无在建工程的承诺书。</w:t>
      </w:r>
    </w:p>
    <w:p w14:paraId="74E042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（5）拒绝下述供应商参加本次采购活动：</w:t>
      </w:r>
    </w:p>
    <w:p w14:paraId="72050FE9">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1）供应商单位负责人为同一人或者存在直接控股、管理关系的不同供应商，不得参加同一合同项下的政府采购活动。</w:t>
      </w:r>
    </w:p>
    <w:p w14:paraId="4AD31338">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2）凡为采购项目提供整体设计、规范编制或者项目管理、监理、检测等服务的供应商，不得再参加本项目的采购活动。</w:t>
      </w:r>
    </w:p>
    <w:p w14:paraId="72EE7DA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3）供应商被“信用中国”网站(www.creditchina.gov.cn)、“中国政府采购网”(www.ccgp.gov.cn)  列入失信被执行人、重大税收违法案件当事人名单、政府采购严重违法失信行为记录名单。</w:t>
      </w:r>
    </w:p>
    <w:p w14:paraId="316D17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四、工程内容</w:t>
      </w:r>
      <w:r>
        <w:rPr>
          <w:rFonts w:hint="default" w:ascii="Times New Roman" w:hAnsi="Times New Roman" w:eastAsia="方正仿宋_GBK" w:cs="Times New Roman"/>
          <w:sz w:val="32"/>
          <w:szCs w:val="32"/>
        </w:rPr>
        <w:t>：详见工程量清单。</w:t>
      </w:r>
    </w:p>
    <w:p w14:paraId="7C6B9D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五、报价要求</w:t>
      </w:r>
    </w:p>
    <w:p w14:paraId="647980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1、本工程采用固定单价合同。</w:t>
      </w:r>
    </w:p>
    <w:p w14:paraId="483F7B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单价不可调，工程量根据工程施工实际情况，竣工并经审计后按实结算。</w:t>
      </w:r>
    </w:p>
    <w:p w14:paraId="6932D4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2、投标人投标报价不得低于其成本价。</w:t>
      </w:r>
    </w:p>
    <w:p w14:paraId="2770EE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程中标价即为合同价，投标报价应包括人工费、材料费、机械设备费、运输费、施工水电费、验收费、技术服务费（包括技术资料、图纸提供等）、保险费、规费及税金等一切费用（即报价内容均涵盖报价要求之一切费用和伴随服务）。</w:t>
      </w:r>
    </w:p>
    <w:p w14:paraId="28443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3、投标人必须按照招标文件规定的报价编制要求、工程量清单格式及要求进行报价，除了工程量清单报价，招标人不再接受其他任何形式的报价及说明（如降价函、报价修正函等）。</w:t>
      </w:r>
    </w:p>
    <w:p w14:paraId="15A93A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供应商应充分考虑所有可能影响到报价的价格及政策等风险因素，根据工程量清单报各项单价，一旦中标，单价不予调整，工程竣工验收后，招标人按照中标人的投标预算单价和实际完成工程量送审，并按审计后总价进行项目结算。</w:t>
      </w:r>
    </w:p>
    <w:p w14:paraId="43ECD9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六、其他要求</w:t>
      </w:r>
    </w:p>
    <w:p w14:paraId="138C089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1、本工程项目总工期不超过</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0日历天。</w:t>
      </w:r>
    </w:p>
    <w:p w14:paraId="60F879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2、工程质量要求按照国家质量验收标准，综合评定指标达到国家质量验收 合格 标准。若质量验收评定不能达到合格，所造成的一切损失由施工单位承担。</w:t>
      </w:r>
    </w:p>
    <w:p w14:paraId="513B7C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工程由投标人自购的设备和材料，所用材料必须符合国家质量验收标准，其规格、技术指标、质量等级详见施工图及工程量清单，同时必须满足相应技术规范或技术标准的要求。如因承包人原因造成的材料复检的费用由承包人承担，由发包人指定检测单位。</w:t>
      </w:r>
    </w:p>
    <w:p w14:paraId="27BFC66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投标人本工程采用品牌必须参考《主要材料品牌一览表》中的推荐品牌及相应质量要求报价，并清晰列出本工程项目中“投标人采用品牌”；如采用其他品牌时，可使用同档次以上品牌，应提供充分依据，证明采用的材料质量高于或相当于推荐品牌产品，否则其投标文件将被拒绝。</w:t>
      </w:r>
    </w:p>
    <w:p w14:paraId="439D87B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中标人在收到中标通知书后3个工作日内，须按校方要求提供工程人员安排和施工计划，如不能通过校方可行性审核，需在2个工作日内提供整改方案，如仍未通过审核，校方可取消其中标资格，纳入江苏开放大学“违约供应商名单”，由下一名中标候选人接替。</w:t>
      </w:r>
    </w:p>
    <w:p w14:paraId="0F198A9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中标人必须按照投标时提供的主要材料品牌及规格施工，不得擅自更换。否则视为违约，一经发现，更换主材处以违约金20万，更换辅材处以违约金10万。同时中标人必须按要求重新采购有关材料，并承担一切费用。相关金额招标人可从合同支付款中直接进行扣除。</w:t>
      </w:r>
    </w:p>
    <w:p w14:paraId="629554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项目进行过程中，校方将进行中期进度和质量检查，如不能达到相关进度和质量要求，校方可酌情扣除费用，也可以根据其改进情况决定是否解除合同，并纳入江苏开放大学“违约供应商名单”，三年之内不能参加学校任何招投标活动，情节严重的，将向省采购中心投诉。</w:t>
      </w:r>
    </w:p>
    <w:p w14:paraId="164C818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中标人进场后应做好施工现场保护，施工期间不得造成床、柜、门、窗、走廊等设施或区域污损，并把老旧污渍清理干净。否则，验收时不论发现新旧乳胶漆等污渍，每处罚款100元；造成损坏的，在处罚的同时，还应恢复原状或照价赔偿。项目实施完成后，施工方须按校方要求进行细节处理及保洁等工作，达到验收要求后，校方组织正式验收。</w:t>
      </w:r>
    </w:p>
    <w:p w14:paraId="1CD309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9、中标人须在合同约定的施工周期内完成全部施工，并经校方验收完成，若延期交付，每天处以合同价款的1%的违约金。</w:t>
      </w:r>
    </w:p>
    <w:p w14:paraId="19FAF5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10、免费质保期：</w:t>
      </w:r>
      <w:r>
        <w:rPr>
          <w:rFonts w:hint="eastAsia" w:ascii="Times New Roman" w:hAnsi="Times New Roman" w:eastAsia="方正仿宋_GBK" w:cs="Times New Roman"/>
          <w:sz w:val="32"/>
          <w:szCs w:val="32"/>
          <w:lang w:val="en-US" w:eastAsia="zh-CN"/>
        </w:rPr>
        <w:t>五年</w:t>
      </w:r>
      <w:r>
        <w:rPr>
          <w:rFonts w:hint="default" w:ascii="Times New Roman" w:hAnsi="Times New Roman" w:eastAsia="方正仿宋_GBK" w:cs="Times New Roman"/>
          <w:sz w:val="32"/>
          <w:szCs w:val="32"/>
        </w:rPr>
        <w:t xml:space="preserve"> 。</w:t>
      </w:r>
    </w:p>
    <w:p w14:paraId="759C32E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11、质量要求：合格。</w:t>
      </w:r>
    </w:p>
    <w:p w14:paraId="2DABA3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七、履约保证金</w:t>
      </w:r>
    </w:p>
    <w:p w14:paraId="5E203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双方签署合同时，中标人需向学校缴纳壹万伍仟元履约保证金。</w:t>
      </w:r>
    </w:p>
    <w:p w14:paraId="15B7C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果在中标公示后5个工作日不能达到校方要求或者故意拖延导致不能签订合同的，或者无故放弃中标的，校方将取消其中标资格，并纳入江苏开放大学“违约供应商名单”，三年之内不能参加学校任何招投标活动，情节严重的，将向省采购中心投诉。</w:t>
      </w:r>
    </w:p>
    <w:p w14:paraId="31F60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履约保证金在项目验收合格后10个工作日内退还给中标单位。</w:t>
      </w:r>
    </w:p>
    <w:p w14:paraId="0E036C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八、付款方式</w:t>
      </w:r>
    </w:p>
    <w:p w14:paraId="19F05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双方约定的工程款(进度款)支付的方式和时间：</w:t>
      </w:r>
    </w:p>
    <w:p w14:paraId="2AA47B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（1）无预付款；</w:t>
      </w:r>
    </w:p>
    <w:p w14:paraId="68847C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（2）工程竣工经甲方验收合格后付到合同价款的60%；</w:t>
      </w:r>
    </w:p>
    <w:p w14:paraId="608E0B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（3）工程结算审计完成,留审计价3%作为工程质保金后一次性付清剩余款项；</w:t>
      </w:r>
    </w:p>
    <w:p w14:paraId="488BB9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（4）质保期满后无质量问题，一周内支付剩余3%工程质保金。</w:t>
      </w:r>
    </w:p>
    <w:p w14:paraId="3525D4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九、评分标准：</w:t>
      </w:r>
    </w:p>
    <w:p w14:paraId="3D0F0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采用综合评分法，评分统计方法采用百分制，将全部评委评分直接进行算术平均，小数点后保留2位。按评审后得分由高到低顺序排列，得分相同的，按投标报价由低到高顺序排列，得分且投标报价相同的，按技术指标优劣顺序排列，由评标委员会确定中标供应商。</w:t>
      </w:r>
    </w:p>
    <w:tbl>
      <w:tblPr>
        <w:tblStyle w:val="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544"/>
        <w:gridCol w:w="5398"/>
        <w:gridCol w:w="900"/>
      </w:tblGrid>
      <w:tr w14:paraId="0C35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06DBD15D">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b/>
                <w:bCs/>
                <w:color w:val="auto"/>
                <w:kern w:val="2"/>
                <w:sz w:val="28"/>
                <w:szCs w:val="28"/>
                <w:lang w:val="zh-CN"/>
              </w:rPr>
            </w:pPr>
            <w:r>
              <w:rPr>
                <w:rFonts w:hint="default" w:ascii="Times New Roman" w:hAnsi="Times New Roman" w:eastAsia="方正仿宋_GBK" w:cs="Times New Roman"/>
                <w:b/>
                <w:bCs/>
                <w:color w:val="auto"/>
                <w:kern w:val="2"/>
                <w:sz w:val="28"/>
                <w:szCs w:val="28"/>
                <w:lang w:val="zh-CN"/>
              </w:rPr>
              <w:t>序号</w:t>
            </w:r>
          </w:p>
        </w:tc>
        <w:tc>
          <w:tcPr>
            <w:tcW w:w="1544" w:type="dxa"/>
            <w:vAlign w:val="center"/>
          </w:tcPr>
          <w:p w14:paraId="70485F5D">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b/>
                <w:bCs/>
                <w:color w:val="auto"/>
                <w:kern w:val="2"/>
                <w:sz w:val="28"/>
                <w:szCs w:val="28"/>
                <w:lang w:val="zh-CN"/>
              </w:rPr>
            </w:pPr>
            <w:r>
              <w:rPr>
                <w:rFonts w:hint="default" w:ascii="Times New Roman" w:hAnsi="Times New Roman" w:eastAsia="方正仿宋_GBK" w:cs="Times New Roman"/>
                <w:b/>
                <w:bCs/>
                <w:color w:val="auto"/>
                <w:kern w:val="2"/>
                <w:sz w:val="28"/>
                <w:szCs w:val="28"/>
                <w:lang w:val="zh-CN"/>
              </w:rPr>
              <w:t>评分因素</w:t>
            </w:r>
          </w:p>
        </w:tc>
        <w:tc>
          <w:tcPr>
            <w:tcW w:w="5398" w:type="dxa"/>
            <w:vAlign w:val="center"/>
          </w:tcPr>
          <w:p w14:paraId="7D0F0970">
            <w:pPr>
              <w:pStyle w:val="8"/>
              <w:keepNext w:val="0"/>
              <w:keepLines w:val="0"/>
              <w:pageBreakBefore w:val="0"/>
              <w:widowControl w:val="0"/>
              <w:kinsoku/>
              <w:wordWrap/>
              <w:overflowPunct/>
              <w:topLinePunct w:val="0"/>
              <w:bidi w:val="0"/>
              <w:adjustRightInd/>
              <w:snapToGrid/>
              <w:spacing w:line="400" w:lineRule="exact"/>
              <w:ind w:firstLine="562" w:firstLineChars="200"/>
              <w:contextualSpacing/>
              <w:jc w:val="center"/>
              <w:textAlignment w:val="auto"/>
              <w:rPr>
                <w:rFonts w:hint="default" w:ascii="Times New Roman" w:hAnsi="Times New Roman" w:eastAsia="方正仿宋_GBK" w:cs="Times New Roman"/>
                <w:b/>
                <w:bCs/>
                <w:color w:val="auto"/>
                <w:kern w:val="2"/>
                <w:sz w:val="28"/>
                <w:szCs w:val="28"/>
                <w:lang w:val="zh-CN"/>
              </w:rPr>
            </w:pPr>
            <w:r>
              <w:rPr>
                <w:rFonts w:hint="default" w:ascii="Times New Roman" w:hAnsi="Times New Roman" w:eastAsia="方正仿宋_GBK" w:cs="Times New Roman"/>
                <w:b/>
                <w:bCs/>
                <w:color w:val="auto"/>
                <w:kern w:val="2"/>
                <w:sz w:val="28"/>
                <w:szCs w:val="28"/>
                <w:lang w:val="zh-CN"/>
              </w:rPr>
              <w:t>评审标准</w:t>
            </w:r>
          </w:p>
        </w:tc>
        <w:tc>
          <w:tcPr>
            <w:tcW w:w="900" w:type="dxa"/>
            <w:vAlign w:val="center"/>
          </w:tcPr>
          <w:p w14:paraId="48968929">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b/>
                <w:bCs/>
                <w:color w:val="auto"/>
                <w:kern w:val="2"/>
                <w:sz w:val="28"/>
                <w:szCs w:val="28"/>
                <w:lang w:val="zh-CN"/>
              </w:rPr>
            </w:pPr>
            <w:r>
              <w:rPr>
                <w:rFonts w:hint="eastAsia" w:ascii="Times New Roman" w:hAnsi="Times New Roman" w:eastAsia="方正仿宋_GBK" w:cs="Times New Roman"/>
                <w:b/>
                <w:bCs/>
                <w:color w:val="auto"/>
                <w:kern w:val="2"/>
                <w:sz w:val="28"/>
                <w:szCs w:val="28"/>
                <w:lang w:val="en-US" w:eastAsia="zh-CN"/>
              </w:rPr>
              <w:t>分</w:t>
            </w:r>
            <w:r>
              <w:rPr>
                <w:rFonts w:hint="default" w:ascii="Times New Roman" w:hAnsi="Times New Roman" w:eastAsia="方正仿宋_GBK" w:cs="Times New Roman"/>
                <w:b/>
                <w:bCs/>
                <w:color w:val="auto"/>
                <w:kern w:val="2"/>
                <w:sz w:val="28"/>
                <w:szCs w:val="28"/>
                <w:lang w:val="zh-CN"/>
              </w:rPr>
              <w:t>值</w:t>
            </w:r>
          </w:p>
        </w:tc>
      </w:tr>
      <w:tr w14:paraId="21E7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7CC4C2E">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1544" w:type="dxa"/>
            <w:vAlign w:val="center"/>
          </w:tcPr>
          <w:p w14:paraId="3B0D9212">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投标报价</w:t>
            </w:r>
          </w:p>
        </w:tc>
        <w:tc>
          <w:tcPr>
            <w:tcW w:w="5398" w:type="dxa"/>
            <w:vAlign w:val="center"/>
          </w:tcPr>
          <w:p w14:paraId="5F8DA9A2">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采用低价优先法计算，即满足投标文件要求且投标价格最低的投标报价为评标基准价，其价格分为满分。</w:t>
            </w:r>
          </w:p>
          <w:p w14:paraId="23267354">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其他投标人的价格分统一按照下列公式计算:投标报价得分=(评标基准价/投标报价)×30（小数点保留两位）</w:t>
            </w:r>
          </w:p>
        </w:tc>
        <w:tc>
          <w:tcPr>
            <w:tcW w:w="900" w:type="dxa"/>
            <w:vAlign w:val="center"/>
          </w:tcPr>
          <w:p w14:paraId="55E34157">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30</w:t>
            </w:r>
          </w:p>
        </w:tc>
      </w:tr>
      <w:tr w14:paraId="38F3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0" w:type="auto"/>
            <w:vAlign w:val="center"/>
          </w:tcPr>
          <w:p w14:paraId="18D5D5E1">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1544" w:type="dxa"/>
            <w:vAlign w:val="center"/>
          </w:tcPr>
          <w:p w14:paraId="3C9BD3AA">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商务标</w:t>
            </w:r>
          </w:p>
        </w:tc>
        <w:tc>
          <w:tcPr>
            <w:tcW w:w="5398" w:type="dxa"/>
            <w:vAlign w:val="center"/>
          </w:tcPr>
          <w:p w14:paraId="0BC17A9C">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（1）业绩（</w:t>
            </w:r>
            <w:r>
              <w:rPr>
                <w:rFonts w:hint="default" w:ascii="Times New Roman" w:hAnsi="Times New Roman" w:eastAsia="方正仿宋_GBK" w:cs="Times New Roman"/>
                <w:color w:val="auto"/>
                <w:kern w:val="2"/>
                <w:sz w:val="28"/>
                <w:szCs w:val="28"/>
                <w:lang w:val="en-US" w:eastAsia="zh-CN"/>
              </w:rPr>
              <w:t>6</w:t>
            </w:r>
            <w:r>
              <w:rPr>
                <w:rFonts w:hint="default" w:ascii="Times New Roman" w:hAnsi="Times New Roman" w:eastAsia="方正仿宋_GBK" w:cs="Times New Roman"/>
                <w:color w:val="auto"/>
                <w:kern w:val="2"/>
                <w:sz w:val="28"/>
                <w:szCs w:val="28"/>
                <w:lang w:val="zh-CN"/>
              </w:rPr>
              <w:t>分）</w:t>
            </w:r>
          </w:p>
          <w:p w14:paraId="5C623D61">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投标人自202</w:t>
            </w:r>
            <w:r>
              <w:rPr>
                <w:rFonts w:hint="default" w:ascii="Times New Roman" w:hAnsi="Times New Roman" w:eastAsia="方正仿宋_GBK" w:cs="Times New Roman"/>
                <w:color w:val="auto"/>
                <w:kern w:val="2"/>
                <w:sz w:val="28"/>
                <w:szCs w:val="28"/>
                <w:lang w:val="en-US" w:eastAsia="zh-CN"/>
              </w:rPr>
              <w:t>2</w:t>
            </w:r>
            <w:r>
              <w:rPr>
                <w:rFonts w:hint="default" w:ascii="Times New Roman" w:hAnsi="Times New Roman" w:eastAsia="方正仿宋_GBK" w:cs="Times New Roman"/>
                <w:color w:val="auto"/>
                <w:kern w:val="2"/>
                <w:sz w:val="28"/>
                <w:szCs w:val="28"/>
                <w:lang w:val="zh-CN"/>
              </w:rPr>
              <w:t>年1月1日以来，具有类似项目业绩的，每提供1个得的</w:t>
            </w:r>
            <w:r>
              <w:rPr>
                <w:rFonts w:hint="default" w:ascii="Times New Roman" w:hAnsi="Times New Roman" w:eastAsia="方正仿宋_GBK" w:cs="Times New Roman"/>
                <w:color w:val="auto"/>
                <w:kern w:val="2"/>
                <w:sz w:val="28"/>
                <w:szCs w:val="28"/>
                <w:lang w:val="en-US" w:eastAsia="zh-CN"/>
              </w:rPr>
              <w:t>2</w:t>
            </w:r>
            <w:r>
              <w:rPr>
                <w:rFonts w:hint="default" w:ascii="Times New Roman" w:hAnsi="Times New Roman" w:eastAsia="方正仿宋_GBK" w:cs="Times New Roman"/>
                <w:color w:val="auto"/>
                <w:kern w:val="2"/>
                <w:sz w:val="28"/>
                <w:szCs w:val="28"/>
                <w:lang w:val="zh-CN"/>
              </w:rPr>
              <w:t>分，满分</w:t>
            </w:r>
            <w:r>
              <w:rPr>
                <w:rFonts w:hint="default" w:ascii="Times New Roman" w:hAnsi="Times New Roman" w:eastAsia="方正仿宋_GBK" w:cs="Times New Roman"/>
                <w:color w:val="auto"/>
                <w:kern w:val="2"/>
                <w:sz w:val="28"/>
                <w:szCs w:val="28"/>
                <w:lang w:val="en-US" w:eastAsia="zh-CN"/>
              </w:rPr>
              <w:t>6分</w:t>
            </w:r>
            <w:r>
              <w:rPr>
                <w:rFonts w:hint="default" w:ascii="Times New Roman" w:hAnsi="Times New Roman" w:eastAsia="方正仿宋_GBK" w:cs="Times New Roman"/>
                <w:color w:val="auto"/>
                <w:kern w:val="2"/>
                <w:sz w:val="28"/>
                <w:szCs w:val="28"/>
                <w:lang w:val="zh-CN"/>
              </w:rPr>
              <w:t>。</w:t>
            </w:r>
            <w:r>
              <w:rPr>
                <w:rFonts w:hint="default" w:ascii="Times New Roman" w:hAnsi="Times New Roman" w:eastAsia="方正仿宋_GBK" w:cs="Times New Roman"/>
                <w:color w:val="auto"/>
                <w:kern w:val="2"/>
                <w:sz w:val="28"/>
                <w:szCs w:val="28"/>
                <w:highlight w:val="none"/>
                <w:lang w:val="zh-CN"/>
              </w:rPr>
              <w:t>（提供合同等相关证明材料，未提供或提供不</w:t>
            </w:r>
            <w:r>
              <w:rPr>
                <w:rFonts w:hint="default" w:ascii="Times New Roman" w:hAnsi="Times New Roman" w:eastAsia="方正仿宋_GBK" w:cs="Times New Roman"/>
                <w:color w:val="auto"/>
                <w:kern w:val="2"/>
                <w:sz w:val="28"/>
                <w:szCs w:val="28"/>
                <w:lang w:val="zh-CN"/>
              </w:rPr>
              <w:t>全的不得分）</w:t>
            </w:r>
          </w:p>
          <w:p w14:paraId="05159DFC">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en-US" w:eastAsia="zh-CN"/>
              </w:rPr>
            </w:pPr>
            <w:r>
              <w:rPr>
                <w:rFonts w:hint="default" w:ascii="Times New Roman" w:hAnsi="Times New Roman" w:eastAsia="方正仿宋_GBK" w:cs="Times New Roman"/>
                <w:color w:val="auto"/>
                <w:kern w:val="2"/>
                <w:sz w:val="28"/>
                <w:szCs w:val="28"/>
                <w:lang w:val="zh-CN"/>
              </w:rPr>
              <w:t>（</w:t>
            </w:r>
            <w:r>
              <w:rPr>
                <w:rFonts w:hint="default" w:ascii="Times New Roman" w:hAnsi="Times New Roman" w:eastAsia="方正仿宋_GBK" w:cs="Times New Roman"/>
                <w:color w:val="auto"/>
                <w:kern w:val="2"/>
                <w:sz w:val="28"/>
                <w:szCs w:val="28"/>
                <w:lang w:val="en-US" w:eastAsia="zh-CN"/>
              </w:rPr>
              <w:t>2</w:t>
            </w:r>
            <w:r>
              <w:rPr>
                <w:rFonts w:hint="default" w:ascii="Times New Roman" w:hAnsi="Times New Roman" w:eastAsia="方正仿宋_GBK" w:cs="Times New Roman"/>
                <w:color w:val="auto"/>
                <w:kern w:val="2"/>
                <w:sz w:val="28"/>
                <w:szCs w:val="28"/>
                <w:lang w:val="zh-CN"/>
              </w:rPr>
              <w:t>）</w:t>
            </w:r>
            <w:r>
              <w:rPr>
                <w:rFonts w:hint="default" w:ascii="Times New Roman" w:hAnsi="Times New Roman" w:eastAsia="方正仿宋_GBK" w:cs="Times New Roman"/>
                <w:color w:val="auto"/>
                <w:kern w:val="2"/>
                <w:sz w:val="28"/>
                <w:szCs w:val="28"/>
                <w:lang w:val="en-US" w:eastAsia="zh-CN"/>
              </w:rPr>
              <w:t>企业资质（6分）</w:t>
            </w:r>
          </w:p>
          <w:p w14:paraId="779661E2">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1、投标人具有信息系统建设和服务能力评估等级证书，能力达到优秀级（CS4）及以上得2分，能力达到良好级（CS3）得1分，其余不得分。</w:t>
            </w:r>
          </w:p>
          <w:p w14:paraId="22B05B4F">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2、投标人具有信息通信网络系统集成企业服务能力</w:t>
            </w:r>
            <w:r>
              <w:rPr>
                <w:rFonts w:hint="default" w:ascii="Times New Roman" w:hAnsi="Times New Roman" w:eastAsia="方正仿宋_GBK" w:cs="Times New Roman"/>
                <w:color w:val="auto"/>
                <w:kern w:val="2"/>
                <w:sz w:val="28"/>
                <w:szCs w:val="28"/>
                <w:lang w:val="en-US" w:eastAsia="zh-CN"/>
              </w:rPr>
              <w:t>评价证书，能力达到乙级以上的得2分，能力达到丙级的得1分，其余不得分</w:t>
            </w:r>
            <w:r>
              <w:rPr>
                <w:rFonts w:hint="default" w:ascii="Times New Roman" w:hAnsi="Times New Roman" w:eastAsia="方正仿宋_GBK" w:cs="Times New Roman"/>
                <w:color w:val="auto"/>
                <w:kern w:val="2"/>
                <w:sz w:val="28"/>
                <w:szCs w:val="28"/>
                <w:lang w:val="zh-CN"/>
              </w:rPr>
              <w:t>。</w:t>
            </w:r>
          </w:p>
          <w:p w14:paraId="0AC6EFC0">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3、投标人具有</w:t>
            </w:r>
            <w:r>
              <w:rPr>
                <w:rFonts w:hint="default" w:ascii="Times New Roman" w:hAnsi="Times New Roman" w:eastAsia="方正仿宋_GBK" w:cs="Times New Roman"/>
                <w:color w:val="auto"/>
                <w:kern w:val="2"/>
                <w:sz w:val="28"/>
                <w:szCs w:val="28"/>
                <w:lang w:val="zh-CN" w:eastAsia="zh-CN"/>
              </w:rPr>
              <w:t>售后服务体系完善程度认证证书</w:t>
            </w:r>
            <w:r>
              <w:rPr>
                <w:rFonts w:hint="default" w:ascii="Times New Roman" w:hAnsi="Times New Roman" w:eastAsia="方正仿宋_GBK" w:cs="Times New Roman"/>
                <w:color w:val="auto"/>
                <w:kern w:val="2"/>
                <w:sz w:val="28"/>
                <w:szCs w:val="28"/>
                <w:lang w:val="en-US" w:eastAsia="zh-CN"/>
              </w:rPr>
              <w:t>十二星级（符合GB/T27922-2011）的得2分，</w:t>
            </w:r>
            <w:r>
              <w:rPr>
                <w:rFonts w:hint="default" w:ascii="Times New Roman" w:hAnsi="Times New Roman" w:eastAsia="方正仿宋_GBK" w:cs="Times New Roman"/>
                <w:color w:val="auto"/>
                <w:kern w:val="2"/>
                <w:sz w:val="28"/>
                <w:szCs w:val="28"/>
                <w:lang w:val="zh-CN"/>
              </w:rPr>
              <w:t>不提供不得分。</w:t>
            </w:r>
          </w:p>
          <w:p w14:paraId="1C456A8D">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（提供相关证书复印件并加盖投标单位公章，未提供的不得分。）</w:t>
            </w:r>
          </w:p>
          <w:p w14:paraId="1911D814">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w:t>
            </w:r>
            <w:r>
              <w:rPr>
                <w:rFonts w:hint="default" w:ascii="Times New Roman" w:hAnsi="Times New Roman" w:eastAsia="方正仿宋_GBK" w:cs="Times New Roman"/>
                <w:color w:val="auto"/>
                <w:kern w:val="2"/>
                <w:sz w:val="28"/>
                <w:szCs w:val="28"/>
                <w:lang w:val="en-US" w:eastAsia="zh-CN"/>
              </w:rPr>
              <w:t>3</w:t>
            </w:r>
            <w:r>
              <w:rPr>
                <w:rFonts w:hint="default" w:ascii="Times New Roman" w:hAnsi="Times New Roman" w:eastAsia="方正仿宋_GBK" w:cs="Times New Roman"/>
                <w:color w:val="auto"/>
                <w:kern w:val="2"/>
                <w:sz w:val="28"/>
                <w:szCs w:val="28"/>
                <w:lang w:val="zh-CN"/>
              </w:rPr>
              <w:t>）人员（</w:t>
            </w:r>
            <w:r>
              <w:rPr>
                <w:rFonts w:hint="default" w:ascii="Times New Roman" w:hAnsi="Times New Roman" w:eastAsia="方正仿宋_GBK" w:cs="Times New Roman"/>
                <w:color w:val="auto"/>
                <w:kern w:val="2"/>
                <w:sz w:val="28"/>
                <w:szCs w:val="28"/>
                <w:lang w:val="en-US" w:eastAsia="zh-CN"/>
              </w:rPr>
              <w:t>8</w:t>
            </w:r>
            <w:r>
              <w:rPr>
                <w:rFonts w:hint="default" w:ascii="Times New Roman" w:hAnsi="Times New Roman" w:eastAsia="方正仿宋_GBK" w:cs="Times New Roman"/>
                <w:color w:val="auto"/>
                <w:kern w:val="2"/>
                <w:sz w:val="28"/>
                <w:szCs w:val="28"/>
                <w:lang w:val="zh-CN"/>
              </w:rPr>
              <w:t>分）</w:t>
            </w:r>
          </w:p>
          <w:p w14:paraId="5BA349AE">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项目经理具备一级建造师（</w:t>
            </w:r>
            <w:r>
              <w:rPr>
                <w:rFonts w:hint="default" w:ascii="Times New Roman" w:hAnsi="Times New Roman" w:eastAsia="方正仿宋_GBK" w:cs="Times New Roman"/>
                <w:color w:val="auto"/>
                <w:sz w:val="28"/>
                <w:szCs w:val="28"/>
                <w:lang w:val="en-US" w:eastAsia="zh-CN"/>
              </w:rPr>
              <w:t>建筑工程或机电工程或通信与广电工程专业</w:t>
            </w:r>
            <w:r>
              <w:rPr>
                <w:rFonts w:hint="default" w:ascii="Times New Roman" w:hAnsi="Times New Roman" w:eastAsia="方正仿宋_GBK" w:cs="Times New Roman"/>
                <w:color w:val="auto"/>
                <w:kern w:val="2"/>
                <w:sz w:val="28"/>
                <w:szCs w:val="28"/>
                <w:lang w:val="zh-CN"/>
              </w:rPr>
              <w:t>）证书的得</w:t>
            </w:r>
            <w:r>
              <w:rPr>
                <w:rFonts w:hint="default" w:ascii="Times New Roman" w:hAnsi="Times New Roman" w:eastAsia="方正仿宋_GBK" w:cs="Times New Roman"/>
                <w:color w:val="auto"/>
                <w:kern w:val="2"/>
                <w:sz w:val="28"/>
                <w:szCs w:val="28"/>
                <w:lang w:val="en-US" w:eastAsia="zh-CN"/>
              </w:rPr>
              <w:t>3</w:t>
            </w:r>
            <w:r>
              <w:rPr>
                <w:rFonts w:hint="default" w:ascii="Times New Roman" w:hAnsi="Times New Roman" w:eastAsia="方正仿宋_GBK" w:cs="Times New Roman"/>
                <w:color w:val="auto"/>
                <w:kern w:val="2"/>
                <w:sz w:val="28"/>
                <w:szCs w:val="28"/>
                <w:lang w:val="zh-CN"/>
              </w:rPr>
              <w:t>分，其他不得分。</w:t>
            </w:r>
          </w:p>
          <w:p w14:paraId="14A5C39C">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技术负责人具备高级工程师职称证书（专业为通信类）的得 1分、具备中级工程师职称证书（专业为通信类）的得0.5分，具备安全员B证证书的得1分，本项最高得2分，其他不得分。</w:t>
            </w:r>
          </w:p>
          <w:p w14:paraId="3B170885">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项目组成员：除项目经理和技术负责人以外，项目组成员具有信息系统项目管理师证书、中级或中级以上工程师职称证书（</w:t>
            </w:r>
            <w:r>
              <w:rPr>
                <w:rFonts w:hint="default" w:ascii="Times New Roman" w:hAnsi="Times New Roman" w:eastAsia="方正仿宋_GBK" w:cs="Times New Roman"/>
                <w:color w:val="auto"/>
                <w:kern w:val="2"/>
                <w:sz w:val="28"/>
                <w:szCs w:val="28"/>
                <w:lang w:val="en-US" w:eastAsia="zh-CN"/>
              </w:rPr>
              <w:t>专业为</w:t>
            </w:r>
            <w:r>
              <w:rPr>
                <w:rFonts w:hint="default" w:ascii="Times New Roman" w:hAnsi="Times New Roman" w:eastAsia="方正仿宋_GBK" w:cs="Times New Roman"/>
                <w:color w:val="auto"/>
                <w:kern w:val="2"/>
                <w:sz w:val="28"/>
                <w:szCs w:val="28"/>
                <w:lang w:val="zh-CN"/>
              </w:rPr>
              <w:t>通信类），每有一个证书得1分，最高得3分。</w:t>
            </w:r>
          </w:p>
          <w:p w14:paraId="74353094">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（提供人员有效身份证、</w:t>
            </w:r>
            <w:r>
              <w:rPr>
                <w:rFonts w:hint="default" w:ascii="Times New Roman" w:hAnsi="Times New Roman" w:eastAsia="方正仿宋_GBK" w:cs="Times New Roman"/>
                <w:color w:val="auto"/>
                <w:kern w:val="2"/>
                <w:sz w:val="28"/>
                <w:szCs w:val="28"/>
                <w:lang w:val="en-US" w:eastAsia="zh-CN"/>
              </w:rPr>
              <w:t>证书扫描件</w:t>
            </w:r>
            <w:r>
              <w:rPr>
                <w:rFonts w:hint="default" w:ascii="Times New Roman" w:hAnsi="Times New Roman" w:eastAsia="方正仿宋_GBK" w:cs="Times New Roman"/>
                <w:color w:val="auto"/>
                <w:kern w:val="2"/>
                <w:sz w:val="28"/>
                <w:szCs w:val="28"/>
                <w:lang w:val="zh-CN"/>
              </w:rPr>
              <w:t>和近六个月（至少一个月）内在本单位交纳社保证明复印件，未提供或提供不全的不得分）。</w:t>
            </w:r>
          </w:p>
        </w:tc>
        <w:tc>
          <w:tcPr>
            <w:tcW w:w="900" w:type="dxa"/>
            <w:vAlign w:val="center"/>
          </w:tcPr>
          <w:p w14:paraId="3C24189C">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color w:val="auto"/>
                <w:kern w:val="2"/>
                <w:sz w:val="28"/>
                <w:szCs w:val="28"/>
                <w:lang w:val="en-US" w:eastAsia="zh-CN"/>
              </w:rPr>
            </w:pPr>
            <w:r>
              <w:rPr>
                <w:rFonts w:hint="default" w:ascii="Times New Roman" w:hAnsi="Times New Roman" w:eastAsia="方正仿宋_GBK" w:cs="Times New Roman"/>
                <w:color w:val="auto"/>
                <w:kern w:val="2"/>
                <w:sz w:val="28"/>
                <w:szCs w:val="28"/>
                <w:lang w:val="en-US" w:eastAsia="zh-CN"/>
              </w:rPr>
              <w:t>20</w:t>
            </w:r>
          </w:p>
        </w:tc>
      </w:tr>
      <w:tr w14:paraId="3EC3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900002">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1544" w:type="dxa"/>
            <w:vAlign w:val="center"/>
          </w:tcPr>
          <w:p w14:paraId="1BF8ACF4">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技术标</w:t>
            </w:r>
          </w:p>
        </w:tc>
        <w:tc>
          <w:tcPr>
            <w:tcW w:w="5398" w:type="dxa"/>
            <w:vAlign w:val="center"/>
          </w:tcPr>
          <w:p w14:paraId="2D7CF2C6">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（1）总体</w:t>
            </w:r>
            <w:r>
              <w:rPr>
                <w:rFonts w:hint="default" w:ascii="Times New Roman" w:hAnsi="Times New Roman" w:eastAsia="方正仿宋_GBK" w:cs="Times New Roman"/>
                <w:color w:val="auto"/>
                <w:kern w:val="2"/>
                <w:sz w:val="28"/>
                <w:szCs w:val="28"/>
                <w:lang w:val="en-US" w:eastAsia="zh-CN"/>
              </w:rPr>
              <w:t>设计方案</w:t>
            </w:r>
            <w:r>
              <w:rPr>
                <w:rFonts w:hint="default" w:ascii="Times New Roman" w:hAnsi="Times New Roman" w:eastAsia="方正仿宋_GBK" w:cs="Times New Roman"/>
                <w:color w:val="auto"/>
                <w:kern w:val="2"/>
                <w:sz w:val="28"/>
                <w:szCs w:val="28"/>
                <w:lang w:val="zh-CN"/>
              </w:rPr>
              <w:t>（</w:t>
            </w:r>
            <w:r>
              <w:rPr>
                <w:rFonts w:hint="default" w:ascii="Times New Roman" w:hAnsi="Times New Roman" w:eastAsia="方正仿宋_GBK" w:cs="Times New Roman"/>
                <w:color w:val="auto"/>
                <w:kern w:val="2"/>
                <w:sz w:val="28"/>
                <w:szCs w:val="28"/>
                <w:lang w:val="en-US" w:eastAsia="zh-CN"/>
              </w:rPr>
              <w:t>16分</w:t>
            </w:r>
            <w:r>
              <w:rPr>
                <w:rFonts w:hint="default" w:ascii="Times New Roman" w:hAnsi="Times New Roman" w:eastAsia="方正仿宋_GBK" w:cs="Times New Roman"/>
                <w:color w:val="auto"/>
                <w:kern w:val="2"/>
                <w:sz w:val="28"/>
                <w:szCs w:val="28"/>
                <w:lang w:val="zh-CN"/>
              </w:rPr>
              <w:t>）</w:t>
            </w:r>
          </w:p>
          <w:p w14:paraId="0B98DFFE">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en-US" w:eastAsia="zh-CN"/>
              </w:rPr>
              <w:t>对总体设计方案（包括路由设计</w:t>
            </w:r>
            <w:r>
              <w:rPr>
                <w:rFonts w:hint="default" w:ascii="Times New Roman" w:hAnsi="Times New Roman" w:eastAsia="方正仿宋_GBK" w:cs="Times New Roman"/>
                <w:color w:val="auto"/>
                <w:kern w:val="2"/>
                <w:sz w:val="28"/>
                <w:szCs w:val="28"/>
                <w:lang w:val="zh-CN"/>
              </w:rPr>
              <w:t>、点位规划、线缆选型、配线布置、链路测试标准等）</w:t>
            </w:r>
            <w:r>
              <w:rPr>
                <w:rFonts w:hint="default" w:ascii="Times New Roman" w:hAnsi="Times New Roman" w:eastAsia="方正仿宋_GBK" w:cs="Times New Roman"/>
                <w:color w:val="auto"/>
                <w:kern w:val="2"/>
                <w:sz w:val="28"/>
                <w:szCs w:val="28"/>
                <w:lang w:val="en-US" w:eastAsia="zh-CN"/>
              </w:rPr>
              <w:t>进行综合评分</w:t>
            </w:r>
            <w:r>
              <w:rPr>
                <w:rFonts w:hint="default" w:ascii="Times New Roman" w:hAnsi="Times New Roman" w:eastAsia="方正仿宋_GBK" w:cs="Times New Roman"/>
                <w:color w:val="auto"/>
                <w:kern w:val="2"/>
                <w:sz w:val="28"/>
                <w:szCs w:val="28"/>
                <w:lang w:val="zh-CN"/>
              </w:rPr>
              <w:t>。</w:t>
            </w:r>
          </w:p>
          <w:p w14:paraId="702286E3">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en-US" w:eastAsia="zh-CN"/>
              </w:rPr>
            </w:pPr>
            <w:r>
              <w:rPr>
                <w:rFonts w:hint="default" w:ascii="Times New Roman" w:hAnsi="Times New Roman" w:eastAsia="方正仿宋_GBK" w:cs="Times New Roman"/>
                <w:color w:val="auto"/>
                <w:kern w:val="2"/>
                <w:sz w:val="28"/>
                <w:szCs w:val="28"/>
                <w:lang w:val="en-US" w:eastAsia="zh-CN"/>
              </w:rPr>
              <w:t>总体设计方案</w:t>
            </w:r>
            <w:r>
              <w:rPr>
                <w:rFonts w:hint="default" w:ascii="Times New Roman" w:hAnsi="Times New Roman" w:eastAsia="方正仿宋_GBK" w:cs="Times New Roman"/>
                <w:color w:val="auto"/>
                <w:kern w:val="2"/>
                <w:sz w:val="28"/>
                <w:szCs w:val="28"/>
                <w:lang w:val="zh-CN"/>
              </w:rPr>
              <w:t>科学完整合理，措施针对性强，要点明确得</w:t>
            </w:r>
            <w:r>
              <w:rPr>
                <w:rFonts w:hint="default" w:ascii="Times New Roman" w:hAnsi="Times New Roman" w:eastAsia="方正仿宋_GBK" w:cs="Times New Roman"/>
                <w:color w:val="auto"/>
                <w:kern w:val="2"/>
                <w:sz w:val="28"/>
                <w:szCs w:val="28"/>
                <w:lang w:val="en-US" w:eastAsia="zh-CN"/>
              </w:rPr>
              <w:t>16</w:t>
            </w:r>
            <w:r>
              <w:rPr>
                <w:rFonts w:hint="default" w:ascii="Times New Roman" w:hAnsi="Times New Roman" w:eastAsia="方正仿宋_GBK" w:cs="Times New Roman"/>
                <w:color w:val="auto"/>
                <w:kern w:val="2"/>
                <w:sz w:val="28"/>
                <w:szCs w:val="28"/>
                <w:lang w:val="zh-CN"/>
              </w:rPr>
              <w:t>分；内容基本完整，措施基本合理的得</w:t>
            </w:r>
            <w:r>
              <w:rPr>
                <w:rFonts w:hint="default" w:ascii="Times New Roman" w:hAnsi="Times New Roman" w:eastAsia="方正仿宋_GBK" w:cs="Times New Roman"/>
                <w:color w:val="auto"/>
                <w:kern w:val="2"/>
                <w:sz w:val="28"/>
                <w:szCs w:val="28"/>
                <w:lang w:val="en-US" w:eastAsia="zh-CN"/>
              </w:rPr>
              <w:t>10</w:t>
            </w:r>
            <w:r>
              <w:rPr>
                <w:rFonts w:hint="default" w:ascii="Times New Roman" w:hAnsi="Times New Roman" w:eastAsia="方正仿宋_GBK" w:cs="Times New Roman"/>
                <w:color w:val="auto"/>
                <w:kern w:val="2"/>
                <w:sz w:val="28"/>
                <w:szCs w:val="28"/>
                <w:lang w:val="zh-CN"/>
              </w:rPr>
              <w:t>分；</w:t>
            </w:r>
            <w:r>
              <w:rPr>
                <w:rFonts w:hint="default" w:ascii="Times New Roman" w:hAnsi="Times New Roman" w:eastAsia="方正仿宋_GBK" w:cs="Times New Roman"/>
                <w:color w:val="auto"/>
                <w:kern w:val="2"/>
                <w:sz w:val="28"/>
                <w:szCs w:val="28"/>
                <w:lang w:val="en-US" w:eastAsia="zh-CN"/>
              </w:rPr>
              <w:t>内容</w:t>
            </w:r>
            <w:r>
              <w:rPr>
                <w:rFonts w:hint="default" w:ascii="Times New Roman" w:hAnsi="Times New Roman" w:eastAsia="方正仿宋_GBK" w:cs="Times New Roman"/>
                <w:color w:val="auto"/>
                <w:kern w:val="2"/>
                <w:sz w:val="28"/>
                <w:szCs w:val="28"/>
                <w:lang w:val="zh-CN"/>
              </w:rPr>
              <w:t>不完整或措施不合理，缺乏针对性的得</w:t>
            </w:r>
            <w:r>
              <w:rPr>
                <w:rFonts w:hint="default" w:ascii="Times New Roman" w:hAnsi="Times New Roman" w:eastAsia="方正仿宋_GBK" w:cs="Times New Roman"/>
                <w:color w:val="auto"/>
                <w:kern w:val="2"/>
                <w:sz w:val="28"/>
                <w:szCs w:val="28"/>
                <w:lang w:val="en-US" w:eastAsia="zh-CN"/>
              </w:rPr>
              <w:t>4</w:t>
            </w:r>
            <w:r>
              <w:rPr>
                <w:rFonts w:hint="default" w:ascii="Times New Roman" w:hAnsi="Times New Roman" w:eastAsia="方正仿宋_GBK" w:cs="Times New Roman"/>
                <w:color w:val="auto"/>
                <w:kern w:val="2"/>
                <w:sz w:val="28"/>
                <w:szCs w:val="28"/>
                <w:lang w:val="zh-CN"/>
              </w:rPr>
              <w:t>分；</w:t>
            </w:r>
            <w:r>
              <w:rPr>
                <w:rFonts w:hint="default" w:ascii="Times New Roman" w:hAnsi="Times New Roman" w:eastAsia="方正仿宋_GBK" w:cs="Times New Roman"/>
                <w:color w:val="auto"/>
                <w:kern w:val="2"/>
                <w:sz w:val="28"/>
                <w:szCs w:val="28"/>
                <w:lang w:val="en-US" w:eastAsia="zh-CN"/>
              </w:rPr>
              <w:t>未提供不得分。</w:t>
            </w:r>
          </w:p>
          <w:p w14:paraId="18B445C3">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en-US" w:eastAsia="zh-CN"/>
              </w:rPr>
            </w:pPr>
            <w:r>
              <w:rPr>
                <w:rFonts w:hint="default" w:ascii="Times New Roman" w:hAnsi="Times New Roman" w:eastAsia="方正仿宋_GBK" w:cs="Times New Roman"/>
                <w:color w:val="auto"/>
                <w:kern w:val="2"/>
                <w:sz w:val="28"/>
                <w:szCs w:val="28"/>
                <w:lang w:val="en-US" w:eastAsia="zh-CN"/>
              </w:rPr>
              <w:t>（2）组织实施方案（10分）</w:t>
            </w:r>
          </w:p>
          <w:p w14:paraId="59BD393C">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en-US" w:eastAsia="zh-CN"/>
              </w:rPr>
              <w:t>对</w:t>
            </w:r>
            <w:r>
              <w:rPr>
                <w:rFonts w:hint="default" w:ascii="Times New Roman" w:hAnsi="Times New Roman" w:eastAsia="方正仿宋_GBK" w:cs="Times New Roman"/>
                <w:color w:val="auto"/>
                <w:kern w:val="2"/>
                <w:sz w:val="28"/>
                <w:szCs w:val="28"/>
                <w:lang w:val="zh-CN"/>
              </w:rPr>
              <w:t>组织实施方案（包括项目组织架构、项目风险管控、项目质量保证、生产管理措施、特殊情况下的施工措施、安全文明施工等）进行综合评分：</w:t>
            </w:r>
          </w:p>
          <w:p w14:paraId="739DFDBB">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组织实施方案</w:t>
            </w:r>
            <w:r>
              <w:rPr>
                <w:rFonts w:hint="default" w:ascii="Times New Roman" w:hAnsi="Times New Roman" w:eastAsia="方正仿宋_GBK" w:cs="Times New Roman"/>
                <w:color w:val="auto"/>
                <w:kern w:val="2"/>
                <w:sz w:val="28"/>
                <w:szCs w:val="28"/>
                <w:lang w:val="en-US" w:eastAsia="zh-CN"/>
              </w:rPr>
              <w:t>内容</w:t>
            </w:r>
            <w:r>
              <w:rPr>
                <w:rFonts w:hint="default" w:ascii="Times New Roman" w:hAnsi="Times New Roman" w:eastAsia="方正仿宋_GBK" w:cs="Times New Roman"/>
                <w:color w:val="auto"/>
                <w:kern w:val="2"/>
                <w:sz w:val="28"/>
                <w:szCs w:val="28"/>
                <w:lang w:val="zh-CN"/>
              </w:rPr>
              <w:t>科学完整合理，措施针对性强，要点明确得</w:t>
            </w:r>
            <w:r>
              <w:rPr>
                <w:rFonts w:hint="default" w:ascii="Times New Roman" w:hAnsi="Times New Roman" w:eastAsia="方正仿宋_GBK" w:cs="Times New Roman"/>
                <w:color w:val="auto"/>
                <w:kern w:val="2"/>
                <w:sz w:val="28"/>
                <w:szCs w:val="28"/>
                <w:lang w:val="en-US" w:eastAsia="zh-CN"/>
              </w:rPr>
              <w:t>10</w:t>
            </w:r>
            <w:r>
              <w:rPr>
                <w:rFonts w:hint="default" w:ascii="Times New Roman" w:hAnsi="Times New Roman" w:eastAsia="方正仿宋_GBK" w:cs="Times New Roman"/>
                <w:color w:val="auto"/>
                <w:kern w:val="2"/>
                <w:sz w:val="28"/>
                <w:szCs w:val="28"/>
                <w:lang w:val="zh-CN"/>
              </w:rPr>
              <w:t>分；内容基本完整，措施基本合理的得</w:t>
            </w:r>
            <w:r>
              <w:rPr>
                <w:rFonts w:hint="default" w:ascii="Times New Roman" w:hAnsi="Times New Roman" w:eastAsia="方正仿宋_GBK" w:cs="Times New Roman"/>
                <w:color w:val="auto"/>
                <w:kern w:val="2"/>
                <w:sz w:val="28"/>
                <w:szCs w:val="28"/>
                <w:lang w:val="en-US" w:eastAsia="zh-CN"/>
              </w:rPr>
              <w:t>6</w:t>
            </w:r>
            <w:r>
              <w:rPr>
                <w:rFonts w:hint="default" w:ascii="Times New Roman" w:hAnsi="Times New Roman" w:eastAsia="方正仿宋_GBK" w:cs="Times New Roman"/>
                <w:color w:val="auto"/>
                <w:kern w:val="2"/>
                <w:sz w:val="28"/>
                <w:szCs w:val="28"/>
                <w:lang w:val="zh-CN"/>
              </w:rPr>
              <w:t>分；组织实施方案不完整或措施不合理，缺乏针对性的得</w:t>
            </w:r>
            <w:r>
              <w:rPr>
                <w:rFonts w:hint="default" w:ascii="Times New Roman" w:hAnsi="Times New Roman" w:eastAsia="方正仿宋_GBK" w:cs="Times New Roman"/>
                <w:color w:val="auto"/>
                <w:kern w:val="2"/>
                <w:sz w:val="28"/>
                <w:szCs w:val="28"/>
                <w:lang w:val="en-US" w:eastAsia="zh-CN"/>
              </w:rPr>
              <w:t>2</w:t>
            </w:r>
            <w:r>
              <w:rPr>
                <w:rFonts w:hint="default" w:ascii="Times New Roman" w:hAnsi="Times New Roman" w:eastAsia="方正仿宋_GBK" w:cs="Times New Roman"/>
                <w:color w:val="auto"/>
                <w:kern w:val="2"/>
                <w:sz w:val="28"/>
                <w:szCs w:val="28"/>
                <w:lang w:val="zh-CN"/>
              </w:rPr>
              <w:t>分；未提供不得分。</w:t>
            </w:r>
          </w:p>
          <w:p w14:paraId="4D76DEDA">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en-US" w:eastAsia="zh-CN"/>
              </w:rPr>
            </w:pPr>
            <w:r>
              <w:rPr>
                <w:rFonts w:hint="default" w:ascii="Times New Roman" w:hAnsi="Times New Roman" w:eastAsia="方正仿宋_GBK" w:cs="Times New Roman"/>
                <w:color w:val="auto"/>
                <w:kern w:val="2"/>
                <w:sz w:val="28"/>
                <w:szCs w:val="28"/>
                <w:lang w:val="en-US" w:eastAsia="zh-CN"/>
              </w:rPr>
              <w:t>（3）培训方案（8分）</w:t>
            </w:r>
          </w:p>
          <w:p w14:paraId="7646A7D7">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en-US" w:eastAsia="zh-CN"/>
              </w:rPr>
              <w:t>对</w:t>
            </w:r>
            <w:r>
              <w:rPr>
                <w:rFonts w:hint="default" w:ascii="Times New Roman" w:hAnsi="Times New Roman" w:eastAsia="方正仿宋_GBK" w:cs="Times New Roman"/>
                <w:color w:val="auto"/>
                <w:kern w:val="2"/>
                <w:sz w:val="28"/>
                <w:szCs w:val="28"/>
                <w:lang w:val="zh-CN"/>
              </w:rPr>
              <w:t>人员培训方案（包括培训计划、培训师资力量、培训内容等）进行综合评分：</w:t>
            </w:r>
          </w:p>
          <w:p w14:paraId="2FF8B2A8">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人员培训方案科学完整合理，培训措施针对性强，要点明确得8分；人员培训方案内容基本完整，措施基本合理的得5分；人员培训方案不完整或措施不合理，缺乏针对性的得2分；未提供不得分。</w:t>
            </w:r>
          </w:p>
          <w:p w14:paraId="75417E2C">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en-US" w:eastAsia="zh-CN"/>
              </w:rPr>
            </w:pPr>
            <w:r>
              <w:rPr>
                <w:rFonts w:hint="default" w:ascii="Times New Roman" w:hAnsi="Times New Roman" w:eastAsia="方正仿宋_GBK" w:cs="Times New Roman"/>
                <w:color w:val="auto"/>
                <w:kern w:val="2"/>
                <w:sz w:val="28"/>
                <w:szCs w:val="28"/>
                <w:lang w:val="en-US" w:eastAsia="zh-CN"/>
              </w:rPr>
              <w:t>（4）售后服务方案（8分）</w:t>
            </w:r>
          </w:p>
          <w:p w14:paraId="5C256B89">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en-US" w:eastAsia="zh-CN"/>
              </w:rPr>
              <w:t>对</w:t>
            </w:r>
            <w:r>
              <w:rPr>
                <w:rFonts w:hint="default" w:ascii="Times New Roman" w:hAnsi="Times New Roman" w:eastAsia="方正仿宋_GBK" w:cs="Times New Roman"/>
                <w:color w:val="auto"/>
                <w:kern w:val="2"/>
                <w:sz w:val="28"/>
                <w:szCs w:val="28"/>
                <w:lang w:val="zh-CN"/>
              </w:rPr>
              <w:t>售后服务方案（包括售后响应时间、售后服务流程、售后服务内容等）综合评分：</w:t>
            </w:r>
          </w:p>
          <w:p w14:paraId="340DB398">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售后服务方案科学完整合理，措施针对性强，要点明确8分；售后服务方案内容基本完整，措施基本合理的得5分；售后服务方案不完整或措施不合理，缺乏针对性的得2分；未提供不得分。</w:t>
            </w:r>
          </w:p>
          <w:p w14:paraId="1FCCD03F">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en-US" w:eastAsia="zh-CN"/>
              </w:rPr>
            </w:pPr>
            <w:r>
              <w:rPr>
                <w:rFonts w:hint="default" w:ascii="Times New Roman" w:hAnsi="Times New Roman" w:eastAsia="方正仿宋_GBK" w:cs="Times New Roman"/>
                <w:color w:val="auto"/>
                <w:kern w:val="2"/>
                <w:sz w:val="28"/>
                <w:szCs w:val="28"/>
                <w:lang w:val="en-US" w:eastAsia="zh-CN"/>
              </w:rPr>
              <w:t>（5）项目资料管理方案（8分）</w:t>
            </w:r>
          </w:p>
          <w:p w14:paraId="49CA0CC0">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en-US" w:eastAsia="zh-CN"/>
              </w:rPr>
              <w:t>对</w:t>
            </w:r>
            <w:r>
              <w:rPr>
                <w:rFonts w:hint="default" w:ascii="Times New Roman" w:hAnsi="Times New Roman" w:eastAsia="方正仿宋_GBK" w:cs="Times New Roman"/>
                <w:color w:val="auto"/>
                <w:kern w:val="2"/>
                <w:sz w:val="28"/>
                <w:szCs w:val="28"/>
                <w:lang w:val="zh-CN"/>
              </w:rPr>
              <w:t>项目档案资料管理方案（项目资料收集、项目档案建立、档案资料保存等）进行综合评分：</w:t>
            </w:r>
          </w:p>
          <w:p w14:paraId="10D15C87">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left"/>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有完备的项目档案资料管理制度；档案资料建立、收集、保存等流程健全、规范，有完善的档案移交步骤的得8分；项目档案资料管理制度内容基本完整，针对性一般；档案资料 建立、收集、保存等较规范，档案移交流程等较合理的得5分；项目档案资料管理制度不完整，档案资料建立、收集、保存等不规范，档案移交流程不合理的得2分；未提供不得分。</w:t>
            </w:r>
          </w:p>
        </w:tc>
        <w:tc>
          <w:tcPr>
            <w:tcW w:w="900" w:type="dxa"/>
            <w:vAlign w:val="center"/>
          </w:tcPr>
          <w:p w14:paraId="1F504CD9">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color w:val="auto"/>
                <w:kern w:val="2"/>
                <w:sz w:val="28"/>
                <w:szCs w:val="28"/>
                <w:lang w:val="en-US" w:eastAsia="zh-CN"/>
              </w:rPr>
            </w:pPr>
            <w:r>
              <w:rPr>
                <w:rFonts w:hint="default" w:ascii="Times New Roman" w:hAnsi="Times New Roman" w:eastAsia="方正仿宋_GBK" w:cs="Times New Roman"/>
                <w:color w:val="auto"/>
                <w:kern w:val="2"/>
                <w:sz w:val="28"/>
                <w:szCs w:val="28"/>
                <w:lang w:val="en-US" w:eastAsia="zh-CN"/>
              </w:rPr>
              <w:t>50</w:t>
            </w:r>
          </w:p>
        </w:tc>
      </w:tr>
      <w:tr w14:paraId="09B1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B520A41">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1544" w:type="dxa"/>
            <w:vAlign w:val="center"/>
          </w:tcPr>
          <w:p w14:paraId="64F69C32">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合计</w:t>
            </w:r>
          </w:p>
        </w:tc>
        <w:tc>
          <w:tcPr>
            <w:tcW w:w="5398" w:type="dxa"/>
            <w:vAlign w:val="center"/>
          </w:tcPr>
          <w:p w14:paraId="28560976">
            <w:pPr>
              <w:pStyle w:val="8"/>
              <w:keepNext w:val="0"/>
              <w:keepLines w:val="0"/>
              <w:pageBreakBefore w:val="0"/>
              <w:widowControl w:val="0"/>
              <w:kinsoku/>
              <w:wordWrap/>
              <w:overflowPunct/>
              <w:topLinePunct w:val="0"/>
              <w:bidi w:val="0"/>
              <w:adjustRightInd/>
              <w:snapToGrid/>
              <w:spacing w:line="400" w:lineRule="exact"/>
              <w:ind w:firstLine="560" w:firstLineChars="200"/>
              <w:contextualSpacing/>
              <w:jc w:val="center"/>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分值合计</w:t>
            </w:r>
          </w:p>
        </w:tc>
        <w:tc>
          <w:tcPr>
            <w:tcW w:w="900" w:type="dxa"/>
            <w:vAlign w:val="center"/>
          </w:tcPr>
          <w:p w14:paraId="4001CC26">
            <w:pPr>
              <w:pStyle w:val="8"/>
              <w:keepNext w:val="0"/>
              <w:keepLines w:val="0"/>
              <w:pageBreakBefore w:val="0"/>
              <w:widowControl w:val="0"/>
              <w:kinsoku/>
              <w:wordWrap/>
              <w:overflowPunct/>
              <w:topLinePunct w:val="0"/>
              <w:bidi w:val="0"/>
              <w:adjustRightInd/>
              <w:snapToGrid/>
              <w:spacing w:line="400" w:lineRule="exact"/>
              <w:contextualSpacing/>
              <w:jc w:val="center"/>
              <w:textAlignment w:val="auto"/>
              <w:rPr>
                <w:rFonts w:hint="default" w:ascii="Times New Roman" w:hAnsi="Times New Roman" w:eastAsia="方正仿宋_GBK" w:cs="Times New Roman"/>
                <w:color w:val="auto"/>
                <w:kern w:val="2"/>
                <w:sz w:val="28"/>
                <w:szCs w:val="28"/>
                <w:lang w:val="zh-CN"/>
              </w:rPr>
            </w:pPr>
            <w:r>
              <w:rPr>
                <w:rFonts w:hint="default" w:ascii="Times New Roman" w:hAnsi="Times New Roman" w:eastAsia="方正仿宋_GBK" w:cs="Times New Roman"/>
                <w:color w:val="auto"/>
                <w:kern w:val="2"/>
                <w:sz w:val="28"/>
                <w:szCs w:val="28"/>
                <w:lang w:val="zh-CN"/>
              </w:rPr>
              <w:t>100</w:t>
            </w:r>
          </w:p>
        </w:tc>
      </w:tr>
    </w:tbl>
    <w:p w14:paraId="433A4ED4">
      <w:pPr>
        <w:pStyle w:val="2"/>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70940"/>
    <w:rsid w:val="01610460"/>
    <w:rsid w:val="05E459B9"/>
    <w:rsid w:val="09323F0C"/>
    <w:rsid w:val="0BF776F0"/>
    <w:rsid w:val="116E4A30"/>
    <w:rsid w:val="136A2EAE"/>
    <w:rsid w:val="141242F2"/>
    <w:rsid w:val="1DB15671"/>
    <w:rsid w:val="1E905B08"/>
    <w:rsid w:val="241059BB"/>
    <w:rsid w:val="2A5B629A"/>
    <w:rsid w:val="2A9D44F3"/>
    <w:rsid w:val="2CAB0320"/>
    <w:rsid w:val="31DE7864"/>
    <w:rsid w:val="336E3E55"/>
    <w:rsid w:val="352917F7"/>
    <w:rsid w:val="374B070A"/>
    <w:rsid w:val="49507C9D"/>
    <w:rsid w:val="4A0C6C4A"/>
    <w:rsid w:val="4DD06AE6"/>
    <w:rsid w:val="59276882"/>
    <w:rsid w:val="5DF82479"/>
    <w:rsid w:val="5F423E6C"/>
    <w:rsid w:val="5FAD6087"/>
    <w:rsid w:val="5FD5376F"/>
    <w:rsid w:val="603C6F10"/>
    <w:rsid w:val="619934EE"/>
    <w:rsid w:val="66804CAF"/>
    <w:rsid w:val="6B5033C9"/>
    <w:rsid w:val="6C3D10BC"/>
    <w:rsid w:val="6F670940"/>
    <w:rsid w:val="6F6F5FD4"/>
    <w:rsid w:val="77817C4F"/>
    <w:rsid w:val="79A5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宋体"/>
      <w:b/>
      <w:kern w:val="0"/>
      <w:position w:val="-10"/>
      <w:sz w:val="24"/>
      <w:szCs w:val="20"/>
    </w:rPr>
  </w:style>
  <w:style w:type="paragraph" w:styleId="3">
    <w:name w:val="Plain Text"/>
    <w:basedOn w:val="1"/>
    <w:qFormat/>
    <w:uiPriority w:val="0"/>
    <w:rPr>
      <w:rFonts w:ascii="宋体" w:hAnsi="Courier New"/>
    </w:rPr>
  </w:style>
  <w:style w:type="paragraph" w:customStyle="1" w:styleId="6">
    <w:name w:val="一级标题"/>
    <w:basedOn w:val="1"/>
    <w:next w:val="1"/>
    <w:qFormat/>
    <w:uiPriority w:val="0"/>
    <w:pPr>
      <w:keepNext/>
      <w:keepLines/>
      <w:spacing w:beforeLines="0" w:afterLines="0" w:line="500" w:lineRule="exact"/>
      <w:jc w:val="left"/>
      <w:outlineLvl w:val="1"/>
    </w:pPr>
    <w:rPr>
      <w:rFonts w:hint="eastAsia" w:ascii="Arial" w:hAnsi="Arial" w:eastAsia="黑体"/>
      <w:sz w:val="32"/>
    </w:rPr>
  </w:style>
  <w:style w:type="paragraph" w:styleId="7">
    <w:name w:val="List Paragraph"/>
    <w:basedOn w:val="1"/>
    <w:qFormat/>
    <w:uiPriority w:val="34"/>
    <w:pPr>
      <w:ind w:firstLine="420" w:firstLineChars="200"/>
    </w:p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4103</Words>
  <Characters>4203</Characters>
  <Lines>0</Lines>
  <Paragraphs>0</Paragraphs>
  <TotalTime>3</TotalTime>
  <ScaleCrop>false</ScaleCrop>
  <LinksUpToDate>false</LinksUpToDate>
  <CharactersWithSpaces>4213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2025-12-15T03:22:00Z</dcterms:created>
  <dc:creator>赵慧</dc:creator>
  <cp:lastModifiedBy>赵慧</cp:lastModifiedBy>
  <dcterms:modified xsi:type="dcterms:W3CDTF">2025-12-17T01:29:28Z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15CB2B875DB94A0D9F41E6B79589C958_13</vt:lpwstr>
  </property>
  <property fmtid="{D5CDD505-2E9C-101B-9397-08002B2CF9AE}" pid="4" name="KSOTemplateDocerSaveRecord">
    <vt:lpwstr>eyJoZGlkIjoiNjJiNGE4MjFmNWYyYzg1NTg0YmYwMGRmMDEzN2E2MTIiLCJ1c2VySWQiOiIxNjY0OTcyODUzIn0=</vt:lpwstr>
  </property>
</Properties>
</file>