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9871D">
      <w:pPr>
        <w:jc w:val="center"/>
        <w:rPr>
          <w:rFonts w:hint="eastAsia" w:ascii="宋体" w:hAnsi="宋体" w:eastAsia="宋体" w:cs="宋体"/>
          <w:b/>
          <w:bCs/>
          <w:spacing w:val="-6"/>
          <w:sz w:val="28"/>
          <w:szCs w:val="28"/>
          <w:lang w:val="zh-CN" w:bidi="zh-CN"/>
        </w:rPr>
      </w:pPr>
      <w:bookmarkStart w:id="0" w:name="_Toc23561"/>
      <w:bookmarkStart w:id="1" w:name="_Toc10906"/>
      <w:bookmarkStart w:id="2" w:name="_Toc14845"/>
      <w:bookmarkStart w:id="3" w:name="_Toc897"/>
      <w:bookmarkStart w:id="4" w:name="_Toc714"/>
      <w:r>
        <w:rPr>
          <w:rFonts w:hint="eastAsia" w:ascii="宋体" w:hAnsi="宋体" w:eastAsia="宋体" w:cs="宋体"/>
          <w:b/>
          <w:bCs/>
          <w:spacing w:val="-6"/>
          <w:sz w:val="28"/>
          <w:szCs w:val="28"/>
          <w:lang w:val="zh-CN" w:bidi="zh-CN"/>
        </w:rPr>
        <w:t>江苏开放大学制造业智改数转技术产业学院实验室建设项目改造工程</w:t>
      </w:r>
    </w:p>
    <w:bookmarkEnd w:id="0"/>
    <w:bookmarkEnd w:id="1"/>
    <w:bookmarkEnd w:id="2"/>
    <w:bookmarkEnd w:id="3"/>
    <w:bookmarkEnd w:id="4"/>
    <w:p w14:paraId="28D9051D">
      <w:pPr>
        <w:spacing w:line="360" w:lineRule="auto"/>
        <w:outlineLvl w:val="1"/>
        <w:rPr>
          <w:rFonts w:hint="eastAsia" w:ascii="宋体" w:hAnsi="宋体" w:eastAsia="宋体" w:cs="宋体"/>
          <w:b/>
          <w:bCs/>
          <w:color w:val="000000"/>
          <w:sz w:val="24"/>
          <w:szCs w:val="24"/>
          <w:highlight w:val="none"/>
        </w:rPr>
      </w:pPr>
      <w:bookmarkStart w:id="5" w:name="_Toc16122"/>
      <w:bookmarkStart w:id="6" w:name="_Toc21519"/>
    </w:p>
    <w:p w14:paraId="7F92F83D">
      <w:pPr>
        <w:spacing w:line="360" w:lineRule="auto"/>
        <w:outlineLvl w:val="1"/>
        <w:rPr>
          <w:rFonts w:hint="eastAsia" w:ascii="宋体" w:hAnsi="宋体" w:eastAsia="宋体" w:cs="宋体"/>
          <w:b/>
          <w:bCs/>
          <w:color w:val="000000"/>
          <w:sz w:val="24"/>
          <w:szCs w:val="24"/>
          <w:highlight w:val="none"/>
        </w:rPr>
      </w:pPr>
      <w:bookmarkStart w:id="17" w:name="_GoBack"/>
      <w:bookmarkEnd w:id="17"/>
      <w:r>
        <w:rPr>
          <w:rFonts w:hint="eastAsia" w:ascii="宋体" w:hAnsi="宋体" w:eastAsia="宋体" w:cs="宋体"/>
          <w:b/>
          <w:bCs/>
          <w:color w:val="000000"/>
          <w:sz w:val="24"/>
          <w:szCs w:val="24"/>
          <w:highlight w:val="none"/>
        </w:rPr>
        <w:t>一、项目概况</w:t>
      </w:r>
      <w:bookmarkEnd w:id="5"/>
    </w:p>
    <w:p w14:paraId="432F28AD">
      <w:pPr>
        <w:tabs>
          <w:tab w:val="left" w:pos="0"/>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1.项目名称：</w:t>
      </w:r>
      <w:r>
        <w:rPr>
          <w:rFonts w:hint="eastAsia" w:ascii="宋体" w:hAnsi="宋体" w:eastAsia="宋体" w:cs="宋体"/>
          <w:color w:val="auto"/>
          <w:sz w:val="24"/>
          <w:szCs w:val="24"/>
          <w:highlight w:val="none"/>
        </w:rPr>
        <w:t>江苏开放大学</w:t>
      </w:r>
      <w:r>
        <w:rPr>
          <w:rFonts w:hint="eastAsia" w:ascii="宋体" w:hAnsi="宋体" w:eastAsia="宋体" w:cs="宋体"/>
          <w:color w:val="auto"/>
          <w:sz w:val="24"/>
          <w:szCs w:val="24"/>
          <w:highlight w:val="none"/>
          <w:lang w:val="en-US" w:eastAsia="zh-CN"/>
        </w:rPr>
        <w:t>制造业智改数转技术产业学院实验室建设项目改造工程；</w:t>
      </w:r>
    </w:p>
    <w:p w14:paraId="20549FEC">
      <w:pPr>
        <w:tabs>
          <w:tab w:val="left" w:pos="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2.建设单位：江苏开放大学；</w:t>
      </w:r>
    </w:p>
    <w:p w14:paraId="1CE0D419">
      <w:pPr>
        <w:tabs>
          <w:tab w:val="left" w:pos="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3.项目概况：</w:t>
      </w:r>
      <w:r>
        <w:rPr>
          <w:rFonts w:hint="eastAsia" w:ascii="宋体" w:hAnsi="宋体" w:eastAsia="宋体" w:cs="宋体"/>
          <w:color w:val="000000"/>
          <w:sz w:val="24"/>
          <w:szCs w:val="24"/>
          <w:highlight w:val="none"/>
        </w:rPr>
        <w:t>江苏开放大学（江苏城市职业学院）获批成立的江苏省高职院校现代产业学院——“制造业智改数转技术产业学院”</w:t>
      </w:r>
      <w:r>
        <w:rPr>
          <w:rFonts w:hint="eastAsia" w:ascii="宋体" w:hAnsi="宋体" w:eastAsia="宋体" w:cs="宋体"/>
          <w:color w:val="000000"/>
          <w:sz w:val="24"/>
          <w:szCs w:val="24"/>
          <w:highlight w:val="none"/>
          <w:lang w:val="en-US" w:eastAsia="zh-CN"/>
        </w:rPr>
        <w:t>坐落于</w:t>
      </w:r>
      <w:r>
        <w:rPr>
          <w:rFonts w:hint="eastAsia" w:ascii="宋体" w:hAnsi="宋体" w:eastAsia="宋体" w:cs="宋体"/>
          <w:color w:val="000000"/>
          <w:sz w:val="24"/>
          <w:szCs w:val="24"/>
          <w:highlight w:val="none"/>
        </w:rPr>
        <w:t>江苏开放大学浦口校区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校区</w:t>
      </w:r>
      <w:r>
        <w:rPr>
          <w:rFonts w:hint="eastAsia" w:ascii="宋体" w:hAnsi="宋体" w:eastAsia="宋体" w:cs="宋体"/>
          <w:color w:val="000000"/>
          <w:sz w:val="24"/>
          <w:szCs w:val="24"/>
          <w:highlight w:val="none"/>
        </w:rPr>
        <w:t>一期项目计划于2026年9月正式投入使用</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为高质量推进“制造业智改数转技术产业学院”的建设工作，深化产教融合与服务区域产业发展，亟需构建匹配“智改数转”技术要求的高水平实训教学环境</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000000"/>
          <w:sz w:val="24"/>
          <w:szCs w:val="24"/>
          <w:highlight w:val="none"/>
          <w:lang w:val="en-US" w:eastAsia="zh-CN"/>
        </w:rPr>
        <w:t>现</w:t>
      </w:r>
      <w:r>
        <w:rPr>
          <w:rFonts w:hint="eastAsia" w:ascii="宋体" w:hAnsi="宋体" w:eastAsia="宋体" w:cs="宋体"/>
          <w:color w:val="000000"/>
          <w:sz w:val="24"/>
          <w:szCs w:val="24"/>
          <w:highlight w:val="none"/>
        </w:rPr>
        <w:t>针对浦口校区</w:t>
      </w:r>
      <w:r>
        <w:rPr>
          <w:rFonts w:hint="eastAsia" w:ascii="宋体" w:hAnsi="宋体" w:eastAsia="宋体" w:cs="宋体"/>
          <w:color w:val="000000"/>
          <w:sz w:val="24"/>
          <w:szCs w:val="24"/>
          <w:highlight w:val="none"/>
          <w:lang w:val="en-US" w:eastAsia="zh-CN"/>
        </w:rPr>
        <w:t>C2、C3</w:t>
      </w:r>
      <w:r>
        <w:rPr>
          <w:rFonts w:hint="eastAsia" w:ascii="宋体" w:hAnsi="宋体" w:eastAsia="宋体" w:cs="宋体"/>
          <w:color w:val="000000"/>
          <w:sz w:val="24"/>
          <w:szCs w:val="24"/>
          <w:highlight w:val="none"/>
        </w:rPr>
        <w:t>共计1</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间</w:t>
      </w:r>
      <w:r>
        <w:rPr>
          <w:rFonts w:hint="eastAsia" w:ascii="宋体" w:hAnsi="宋体" w:eastAsia="宋体" w:cs="宋体"/>
          <w:color w:val="auto"/>
          <w:sz w:val="24"/>
          <w:szCs w:val="24"/>
          <w:highlight w:val="none"/>
          <w:lang w:val="en-US" w:eastAsia="zh-CN"/>
        </w:rPr>
        <w:t>实验室</w:t>
      </w:r>
      <w:r>
        <w:rPr>
          <w:rFonts w:hint="eastAsia" w:ascii="宋体" w:hAnsi="宋体" w:eastAsia="宋体" w:cs="宋体"/>
          <w:color w:val="000000"/>
          <w:sz w:val="24"/>
          <w:szCs w:val="24"/>
          <w:highlight w:val="none"/>
          <w:lang w:val="en-US" w:eastAsia="zh-CN"/>
        </w:rPr>
        <w:t>及相关门厅、过道公共区域</w:t>
      </w:r>
      <w:r>
        <w:rPr>
          <w:rFonts w:hint="eastAsia" w:ascii="宋体" w:hAnsi="宋体" w:eastAsia="宋体" w:cs="宋体"/>
          <w:color w:val="000000"/>
          <w:sz w:val="24"/>
          <w:szCs w:val="24"/>
          <w:highlight w:val="none"/>
        </w:rPr>
        <w:t>进行</w:t>
      </w:r>
      <w:r>
        <w:rPr>
          <w:rFonts w:hint="eastAsia" w:ascii="宋体" w:hAnsi="宋体" w:eastAsia="宋体" w:cs="宋体"/>
          <w:color w:val="000000"/>
          <w:sz w:val="24"/>
          <w:szCs w:val="24"/>
          <w:highlight w:val="none"/>
          <w:lang w:val="en-US" w:eastAsia="zh-CN"/>
        </w:rPr>
        <w:t>改造</w:t>
      </w:r>
      <w:r>
        <w:rPr>
          <w:rFonts w:hint="eastAsia" w:ascii="宋体" w:hAnsi="宋体" w:eastAsia="宋体" w:cs="宋体"/>
          <w:color w:val="000000"/>
          <w:sz w:val="24"/>
          <w:szCs w:val="24"/>
          <w:highlight w:val="none"/>
        </w:rPr>
        <w:t>建设</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详见工程量清单。</w:t>
      </w:r>
    </w:p>
    <w:p w14:paraId="4845D5D1">
      <w:pPr>
        <w:tabs>
          <w:tab w:val="left" w:pos="0"/>
        </w:tabs>
        <w:spacing w:line="360" w:lineRule="auto"/>
        <w:ind w:firstLine="480"/>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yellow"/>
          <w:lang w:val="en-US" w:eastAsia="zh-CN"/>
        </w:rPr>
        <w:t>4</w:t>
      </w:r>
      <w:r>
        <w:rPr>
          <w:rFonts w:hint="eastAsia" w:ascii="宋体" w:hAnsi="宋体" w:eastAsia="宋体" w:cs="宋体"/>
          <w:color w:val="auto"/>
          <w:sz w:val="24"/>
          <w:szCs w:val="24"/>
          <w:highlight w:val="yellow"/>
        </w:rPr>
        <w:t>.施工现场实际情况：</w:t>
      </w:r>
      <w:r>
        <w:rPr>
          <w:rFonts w:hint="eastAsia" w:ascii="宋体" w:hAnsi="宋体" w:eastAsia="宋体" w:cs="宋体"/>
          <w:color w:val="FF0000"/>
          <w:sz w:val="24"/>
          <w:szCs w:val="24"/>
          <w:highlight w:val="yellow"/>
        </w:rPr>
        <w:t>由投标人自行勘查现场</w:t>
      </w:r>
      <w:r>
        <w:rPr>
          <w:rFonts w:hint="eastAsia" w:ascii="宋体" w:hAnsi="宋体" w:eastAsia="宋体" w:cs="宋体"/>
          <w:color w:val="auto"/>
          <w:sz w:val="24"/>
          <w:szCs w:val="24"/>
          <w:highlight w:val="yellow"/>
        </w:rPr>
        <w:t>。</w:t>
      </w:r>
    </w:p>
    <w:p w14:paraId="1FD4691A">
      <w:pPr>
        <w:tabs>
          <w:tab w:val="left" w:pos="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范围：</w:t>
      </w:r>
      <w:r>
        <w:rPr>
          <w:rFonts w:hint="eastAsia" w:ascii="宋体" w:hAnsi="宋体" w:eastAsia="宋体" w:cs="宋体"/>
          <w:color w:val="000000"/>
          <w:sz w:val="24"/>
          <w:szCs w:val="24"/>
          <w:highlight w:val="none"/>
          <w:lang w:val="en-US" w:eastAsia="zh-CN"/>
        </w:rPr>
        <w:t>清单及</w:t>
      </w:r>
      <w:r>
        <w:rPr>
          <w:rFonts w:hint="eastAsia" w:ascii="宋体" w:hAnsi="宋体" w:eastAsia="宋体" w:cs="宋体"/>
          <w:color w:val="000000"/>
          <w:sz w:val="24"/>
          <w:szCs w:val="24"/>
          <w:highlight w:val="none"/>
        </w:rPr>
        <w:t>施工图纸范围内装饰、安装及其他工程等。</w:t>
      </w:r>
    </w:p>
    <w:p w14:paraId="14AA600D">
      <w:pPr>
        <w:pStyle w:val="2"/>
        <w:rPr>
          <w:rFonts w:hint="eastAsia"/>
        </w:rPr>
      </w:pPr>
    </w:p>
    <w:p w14:paraId="25902015">
      <w:pPr>
        <w:spacing w:line="360" w:lineRule="auto"/>
        <w:ind w:firstLine="0"/>
        <w:outlineLvl w:val="1"/>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二、评分标准</w:t>
      </w:r>
    </w:p>
    <w:p w14:paraId="5EF6B48A">
      <w:pPr>
        <w:tabs>
          <w:tab w:val="left" w:pos="0"/>
        </w:tabs>
        <w:spacing w:line="360" w:lineRule="auto"/>
        <w:ind w:firstLine="480"/>
        <w:rPr>
          <w:rFonts w:hint="default" w:ascii="宋体" w:hAnsi="宋体" w:eastAsia="宋体" w:cs="宋体"/>
          <w:color w:val="auto"/>
          <w:sz w:val="24"/>
          <w:szCs w:val="24"/>
          <w:highlight w:val="none"/>
        </w:rPr>
      </w:pPr>
      <w:r>
        <w:rPr>
          <w:rFonts w:hint="default" w:ascii="宋体" w:hAnsi="宋体" w:eastAsia="宋体" w:cs="宋体"/>
          <w:color w:val="auto"/>
          <w:sz w:val="24"/>
          <w:szCs w:val="24"/>
          <w:highlight w:val="none"/>
        </w:rPr>
        <w:t>本项目采用综合打分法确定中标候选人。评标委员会将按下列评分具体办法和标准进行打分，总分值为100分，小数点后保留两位。</w:t>
      </w:r>
    </w:p>
    <w:p w14:paraId="4B73CBEE">
      <w:pPr>
        <w:tabs>
          <w:tab w:val="left" w:pos="0"/>
        </w:tabs>
        <w:spacing w:line="360"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rPr>
        <w:t>采购人根据采购项目的特殊要求规定的特定条件：建筑装修装饰工程专业承包二级（含）以上资质并同时提供有效的《安全生产许可证》</w:t>
      </w:r>
      <w:r>
        <w:rPr>
          <w:rFonts w:hint="eastAsia" w:ascii="宋体" w:hAnsi="宋体" w:eastAsia="宋体" w:cs="宋体"/>
          <w:color w:val="auto"/>
          <w:sz w:val="24"/>
          <w:szCs w:val="24"/>
          <w:highlight w:val="none"/>
          <w:lang w:eastAsia="zh-CN"/>
        </w:rPr>
        <w:t>。</w:t>
      </w:r>
    </w:p>
    <w:tbl>
      <w:tblPr>
        <w:tblStyle w:val="4"/>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10"/>
        <w:gridCol w:w="1116"/>
        <w:gridCol w:w="4979"/>
        <w:gridCol w:w="643"/>
        <w:gridCol w:w="1074"/>
      </w:tblGrid>
      <w:tr w14:paraId="7CF671D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12" w:space="0"/>
              <w:left w:val="single" w:color="auto" w:sz="12" w:space="0"/>
              <w:bottom w:val="nil"/>
              <w:right w:val="nil"/>
            </w:tcBorders>
            <w:noWrap w:val="0"/>
            <w:tcMar>
              <w:top w:w="-1" w:type="dxa"/>
              <w:left w:w="-1" w:type="dxa"/>
              <w:bottom w:w="-1" w:type="dxa"/>
              <w:right w:w="-1" w:type="dxa"/>
            </w:tcMar>
            <w:vAlign w:val="center"/>
          </w:tcPr>
          <w:p w14:paraId="6163E213">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 xml:space="preserve">序号 </w:t>
            </w:r>
          </w:p>
        </w:tc>
        <w:tc>
          <w:tcPr>
            <w:tcW w:w="655" w:type="pct"/>
            <w:tcBorders>
              <w:top w:val="single" w:color="auto" w:sz="12" w:space="0"/>
              <w:left w:val="single" w:color="auto" w:sz="4" w:space="0"/>
              <w:bottom w:val="nil"/>
              <w:right w:val="nil"/>
            </w:tcBorders>
            <w:noWrap w:val="0"/>
            <w:tcMar>
              <w:top w:w="-1" w:type="dxa"/>
              <w:left w:w="-1" w:type="dxa"/>
              <w:bottom w:w="-1" w:type="dxa"/>
              <w:right w:w="-1" w:type="dxa"/>
            </w:tcMar>
            <w:vAlign w:val="center"/>
          </w:tcPr>
          <w:p w14:paraId="6C6C4A05">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评审因素</w:t>
            </w:r>
          </w:p>
        </w:tc>
        <w:tc>
          <w:tcPr>
            <w:tcW w:w="2921" w:type="pct"/>
            <w:tcBorders>
              <w:top w:val="single" w:color="auto" w:sz="12" w:space="0"/>
              <w:left w:val="single" w:color="auto" w:sz="4" w:space="0"/>
              <w:bottom w:val="nil"/>
              <w:right w:val="nil"/>
            </w:tcBorders>
            <w:noWrap w:val="0"/>
            <w:tcMar>
              <w:top w:w="-1" w:type="dxa"/>
              <w:left w:w="-1" w:type="dxa"/>
              <w:bottom w:w="-1" w:type="dxa"/>
              <w:right w:w="-1" w:type="dxa"/>
            </w:tcMar>
            <w:vAlign w:val="center"/>
          </w:tcPr>
          <w:p w14:paraId="46396D06">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评审细则</w:t>
            </w:r>
          </w:p>
        </w:tc>
        <w:tc>
          <w:tcPr>
            <w:tcW w:w="377" w:type="pct"/>
            <w:tcBorders>
              <w:top w:val="single" w:color="auto" w:sz="12" w:space="0"/>
              <w:left w:val="single" w:color="auto" w:sz="4" w:space="0"/>
              <w:bottom w:val="nil"/>
              <w:right w:val="nil"/>
            </w:tcBorders>
            <w:noWrap w:val="0"/>
            <w:tcMar>
              <w:top w:w="-1" w:type="dxa"/>
              <w:left w:w="-1" w:type="dxa"/>
              <w:bottom w:w="-1" w:type="dxa"/>
              <w:right w:w="-1" w:type="dxa"/>
            </w:tcMar>
            <w:vAlign w:val="center"/>
          </w:tcPr>
          <w:p w14:paraId="37035831">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分值</w:t>
            </w:r>
          </w:p>
        </w:tc>
        <w:tc>
          <w:tcPr>
            <w:tcW w:w="627" w:type="pct"/>
            <w:tcBorders>
              <w:top w:val="single" w:color="auto" w:sz="12" w:space="0"/>
              <w:left w:val="single" w:color="auto" w:sz="4" w:space="0"/>
              <w:bottom w:val="nil"/>
              <w:right w:val="single" w:color="auto" w:sz="12" w:space="0"/>
            </w:tcBorders>
            <w:noWrap w:val="0"/>
            <w:tcMar>
              <w:top w:w="-1" w:type="dxa"/>
              <w:left w:w="-1" w:type="dxa"/>
              <w:bottom w:w="-1" w:type="dxa"/>
              <w:right w:w="-1" w:type="dxa"/>
            </w:tcMar>
            <w:vAlign w:val="center"/>
          </w:tcPr>
          <w:p w14:paraId="0041167B">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分值类型</w:t>
            </w:r>
          </w:p>
        </w:tc>
      </w:tr>
      <w:tr w14:paraId="126B0FA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521ACE33">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价格</w:t>
            </w:r>
          </w:p>
        </w:tc>
      </w:tr>
      <w:tr w14:paraId="21FA7A9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58B1F2C0">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1.1</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8FA3AF6">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价格</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057EEC4D">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(1) 当有效投标人数量≥5时，扣除1个最高有效投标报价和1个最低有效投标报价，取其余有效投标报价的算术平均值作为评标基准价。</w:t>
            </w:r>
          </w:p>
          <w:p w14:paraId="5A9E7B65">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(2)当有效投标人数量＜5时，取所有有效投标报价的算术平均值作为评标基准价。</w:t>
            </w:r>
          </w:p>
          <w:p w14:paraId="5CF32704">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2.投标报价得分：</w:t>
            </w:r>
          </w:p>
          <w:p w14:paraId="0FD8D0BC">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(1)经评审的有效投标报价=评标基准价时，得30分；</w:t>
            </w:r>
          </w:p>
          <w:p w14:paraId="4EE00DE1">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(2)经评审的有效投标报价-评标基准价＞0时，投标报价得分=30-0.3×〔（有效投标报价-评标基准价）÷评标基准价×100×1〕； </w:t>
            </w:r>
          </w:p>
          <w:p w14:paraId="45C06291">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 经评审的有效投标报价-评标基准价＜0时，投标报价得分=30-0.3×〔（评标基准价-有效投标报价）÷评标基准价×100×0.5〕；</w:t>
            </w:r>
          </w:p>
          <w:p w14:paraId="45FCC803">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(4)分值按内插法计算，结果保留小数点后二位。</w:t>
            </w:r>
          </w:p>
          <w:p w14:paraId="7A836365">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(5)本项最高得分30分，最低得分为0分。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3F6647F0">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30</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6C086A5C">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49016CE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7211AD59">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技术方案</w:t>
            </w:r>
          </w:p>
        </w:tc>
      </w:tr>
      <w:tr w14:paraId="7CD28AD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753C535">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2.1</w:t>
            </w:r>
          </w:p>
        </w:tc>
        <w:tc>
          <w:tcPr>
            <w:tcW w:w="655" w:type="pct"/>
            <w:vMerge w:val="restar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8D0D1F1">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施工组织设计（技术标部分）</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76AD13BC">
            <w:pPr>
              <w:keepNext/>
              <w:snapToGrid w:val="0"/>
              <w:spacing w:line="300" w:lineRule="auto"/>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sz w:val="21"/>
                <w:szCs w:val="21"/>
              </w:rPr>
              <w:t>施工组织总体方案与概述:</w:t>
            </w:r>
          </w:p>
          <w:p w14:paraId="666B109C">
            <w:pPr>
              <w:keepNext/>
              <w:snapToGrid w:val="0"/>
              <w:ind w:firstLine="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根据施工组织总体设想、方案针对性、符合本项目特征打分</w:t>
            </w:r>
          </w:p>
          <w:p w14:paraId="226EBCAA">
            <w:pPr>
              <w:keepNext/>
              <w:snapToGrid w:val="0"/>
              <w:ind w:firstLine="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(1)总体方案措施组织科学严密、考虑周全，先进可行的，得10分；</w:t>
            </w:r>
          </w:p>
          <w:p w14:paraId="3CF64F99">
            <w:pPr>
              <w:keepNext/>
              <w:snapToGrid w:val="0"/>
              <w:ind w:firstLine="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(2)总体方案措施完整，可行性尚可，得7分；</w:t>
            </w:r>
          </w:p>
          <w:p w14:paraId="38187E8A">
            <w:pPr>
              <w:keepNext/>
              <w:snapToGrid w:val="0"/>
              <w:ind w:firstLine="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(3)总体方案措施不明确，方案针对性一般性的，得4分；</w:t>
            </w:r>
          </w:p>
          <w:p w14:paraId="1ACCE20A">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bCs/>
                <w:color w:val="000000"/>
                <w:sz w:val="21"/>
                <w:szCs w:val="21"/>
              </w:rPr>
              <w:t>(4)未体现总体设想，方案无针对性，或未提供材料的不得分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3AC035A">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10</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100488F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4DA091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769B810">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2.2</w:t>
            </w:r>
          </w:p>
        </w:tc>
        <w:tc>
          <w:tcPr>
            <w:tcW w:w="655" w:type="pct"/>
            <w:vMerge w:val="continue"/>
            <w:tcBorders>
              <w:top w:val="single" w:color="auto" w:sz="4" w:space="0"/>
              <w:left w:val="single" w:color="auto" w:sz="4" w:space="0"/>
              <w:bottom w:val="nil"/>
              <w:right w:val="nil"/>
            </w:tcBorders>
            <w:noWrap w:val="0"/>
            <w:tcMar>
              <w:top w:w="-1" w:type="dxa"/>
              <w:left w:w="-1" w:type="dxa"/>
              <w:bottom w:w="-1" w:type="dxa"/>
              <w:right w:w="-1" w:type="dxa"/>
            </w:tcMar>
            <w:vAlign w:val="center"/>
          </w:tcPr>
          <w:p w14:paraId="3F01B776">
            <w:pPr>
              <w:keepNext/>
              <w:widowControl/>
              <w:snapToGrid w:val="0"/>
              <w:jc w:val="center"/>
              <w:rPr>
                <w:rFonts w:hint="default" w:ascii="Times New Roman" w:hAnsi="Times New Roman" w:eastAsia="方正仿宋_GBK" w:cs="Times New Roman"/>
                <w:color w:val="000000"/>
                <w:kern w:val="0"/>
                <w:szCs w:val="21"/>
              </w:rPr>
            </w:pP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7A53BF04">
            <w:pPr>
              <w:keepNext/>
              <w:snapToGrid w:val="0"/>
              <w:spacing w:line="300" w:lineRule="auto"/>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sz w:val="21"/>
                <w:szCs w:val="21"/>
              </w:rPr>
              <w:t>进度计划:</w:t>
            </w:r>
          </w:p>
          <w:p w14:paraId="41A187D3">
            <w:pPr>
              <w:keepNext/>
              <w:snapToGrid w:val="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根据施工进度计划和各阶段进度的保证措施的合理可行性打分。</w:t>
            </w:r>
          </w:p>
          <w:p w14:paraId="1973605A">
            <w:pPr>
              <w:keepNext/>
              <w:snapToGrid w:val="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制定计划和保证措施合理可行得5分；</w:t>
            </w:r>
          </w:p>
          <w:p w14:paraId="4BEC2BA3">
            <w:pPr>
              <w:keepNext/>
              <w:snapToGrid w:val="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制定计划和保证措施基本可行得3分；</w:t>
            </w:r>
          </w:p>
          <w:p w14:paraId="6F4E0D03">
            <w:pPr>
              <w:keepNext/>
              <w:snapToGrid w:val="0"/>
              <w:rPr>
                <w:rFonts w:hint="default" w:ascii="Times New Roman" w:hAnsi="Times New Roman" w:eastAsia="方正仿宋_GBK" w:cs="Times New Roman"/>
                <w:bCs/>
                <w:color w:val="000000"/>
                <w:sz w:val="21"/>
                <w:szCs w:val="21"/>
              </w:rPr>
            </w:pPr>
            <w:r>
              <w:rPr>
                <w:rFonts w:hint="default" w:ascii="Times New Roman" w:hAnsi="Times New Roman" w:eastAsia="方正仿宋_GBK" w:cs="Times New Roman"/>
                <w:bCs/>
                <w:color w:val="000000"/>
                <w:sz w:val="21"/>
                <w:szCs w:val="21"/>
              </w:rPr>
              <w:t>制定计划和保证措施缺乏合理性得1分；</w:t>
            </w:r>
          </w:p>
          <w:p w14:paraId="6B55F3C8">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bCs/>
                <w:color w:val="000000"/>
                <w:sz w:val="21"/>
                <w:szCs w:val="21"/>
              </w:rPr>
              <w:t>无得0分，</w:t>
            </w:r>
            <w:r>
              <w:rPr>
                <w:rFonts w:hint="default" w:ascii="Times New Roman" w:hAnsi="Times New Roman" w:eastAsia="方正仿宋_GBK" w:cs="Times New Roman"/>
                <w:color w:val="000000"/>
                <w:sz w:val="21"/>
                <w:szCs w:val="21"/>
              </w:rPr>
              <w:t>满分5分。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169BC22">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70485F2B">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7F09EE0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94C2B30">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2.3</w:t>
            </w:r>
          </w:p>
        </w:tc>
        <w:tc>
          <w:tcPr>
            <w:tcW w:w="655" w:type="pct"/>
            <w:vMerge w:val="continue"/>
            <w:tcBorders>
              <w:top w:val="single" w:color="auto" w:sz="4" w:space="0"/>
              <w:left w:val="single" w:color="auto" w:sz="4" w:space="0"/>
              <w:bottom w:val="nil"/>
              <w:right w:val="nil"/>
            </w:tcBorders>
            <w:noWrap w:val="0"/>
            <w:tcMar>
              <w:top w:w="-1" w:type="dxa"/>
              <w:left w:w="-1" w:type="dxa"/>
              <w:bottom w:w="-1" w:type="dxa"/>
              <w:right w:w="-1" w:type="dxa"/>
            </w:tcMar>
            <w:vAlign w:val="center"/>
          </w:tcPr>
          <w:p w14:paraId="00052460">
            <w:pPr>
              <w:keepNext/>
              <w:widowControl/>
              <w:snapToGrid w:val="0"/>
              <w:jc w:val="center"/>
              <w:rPr>
                <w:rFonts w:hint="default" w:ascii="Times New Roman" w:hAnsi="Times New Roman" w:eastAsia="方正仿宋_GBK" w:cs="Times New Roman"/>
                <w:color w:val="000000"/>
                <w:kern w:val="0"/>
                <w:szCs w:val="21"/>
              </w:rPr>
            </w:pP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BE62DF6">
            <w:pPr>
              <w:keepNext/>
              <w:snapToGrid w:val="0"/>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sz w:val="21"/>
                <w:szCs w:val="21"/>
              </w:rPr>
              <w:t>安全文明施工及环境保护措：</w:t>
            </w:r>
          </w:p>
          <w:p w14:paraId="6E60EBDF">
            <w:pPr>
              <w:keepNext/>
              <w:snapToGrid w:val="0"/>
              <w:ind w:firstLine="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根据安全文明施工及环境保护等方案的合理可行性打分。</w:t>
            </w:r>
          </w:p>
          <w:p w14:paraId="65B003D7">
            <w:pPr>
              <w:keepNext/>
              <w:snapToGrid w:val="0"/>
              <w:ind w:firstLine="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(1)保证措施中安全文明及环保意识强，措施完善，可行有力的，得5分；</w:t>
            </w:r>
          </w:p>
          <w:p w14:paraId="153FF312">
            <w:pPr>
              <w:keepNext/>
              <w:snapToGrid w:val="0"/>
              <w:ind w:firstLine="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(2)保证措施完整但缺乏针对性，基本满足项目需求的，得3分；</w:t>
            </w:r>
          </w:p>
          <w:p w14:paraId="6272EC51">
            <w:pPr>
              <w:keepNext/>
              <w:snapToGrid w:val="0"/>
              <w:ind w:firstLine="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(3)保障措施缺乏可行性，勉强满足项目需求的，得1分；</w:t>
            </w:r>
          </w:p>
          <w:p w14:paraId="78064AFF">
            <w:pPr>
              <w:keepNext/>
              <w:widowControl/>
              <w:snapToGrid w:val="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(4)保障措施描述较少或无描述的得0分，满分5分。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58F945DF">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70F6FD55">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5DB2CF0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3DDFCA7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2.4</w:t>
            </w:r>
          </w:p>
        </w:tc>
        <w:tc>
          <w:tcPr>
            <w:tcW w:w="655" w:type="pct"/>
            <w:vMerge w:val="continue"/>
            <w:tcBorders>
              <w:top w:val="single" w:color="auto" w:sz="4" w:space="0"/>
              <w:left w:val="single" w:color="auto" w:sz="4" w:space="0"/>
              <w:bottom w:val="nil"/>
              <w:right w:val="nil"/>
            </w:tcBorders>
            <w:noWrap w:val="0"/>
            <w:tcMar>
              <w:top w:w="-1" w:type="dxa"/>
              <w:left w:w="-1" w:type="dxa"/>
              <w:bottom w:w="-1" w:type="dxa"/>
              <w:right w:w="-1" w:type="dxa"/>
            </w:tcMar>
            <w:vAlign w:val="center"/>
          </w:tcPr>
          <w:p w14:paraId="32A8A65E">
            <w:pPr>
              <w:keepNext/>
              <w:widowControl/>
              <w:snapToGrid w:val="0"/>
              <w:jc w:val="center"/>
              <w:rPr>
                <w:rFonts w:hint="default" w:ascii="Times New Roman" w:hAnsi="Times New Roman" w:eastAsia="方正仿宋_GBK" w:cs="Times New Roman"/>
                <w:color w:val="000000"/>
                <w:kern w:val="0"/>
                <w:szCs w:val="21"/>
              </w:rPr>
            </w:pP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7F0EC29D">
            <w:pPr>
              <w:keepNext/>
              <w:snapToGrid w:val="0"/>
              <w:spacing w:line="300" w:lineRule="auto"/>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sz w:val="21"/>
                <w:szCs w:val="21"/>
              </w:rPr>
              <w:t>施工质量:</w:t>
            </w:r>
          </w:p>
          <w:p w14:paraId="27FD7B41">
            <w:pPr>
              <w:keepNext/>
              <w:snapToGrid w:val="0"/>
              <w:ind w:firstLine="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根据施工质量的保证措施的合理可行性打分。</w:t>
            </w:r>
          </w:p>
          <w:p w14:paraId="0EB9E492">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sz w:val="21"/>
                <w:szCs w:val="21"/>
              </w:rPr>
              <w:t>方案可行，针对性强得5分，方案基本可行，针对性一般得3分，方案缺乏合理性，针对性差得1分，无：0分，满分5分。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2162BB5C">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445172B6">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4CFBF13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5DDB5D11">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2.5</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C4EC8B9">
            <w:pPr>
              <w:keepNext/>
              <w:widowControl/>
              <w:snapToGrid w:val="0"/>
              <w:jc w:val="center"/>
              <w:rPr>
                <w:rFonts w:hint="default" w:ascii="Times New Roman" w:hAnsi="Times New Roman" w:eastAsia="方正仿宋_GBK" w:cs="Times New Roman"/>
                <w:color w:val="000000"/>
                <w:kern w:val="0"/>
                <w:szCs w:val="21"/>
              </w:rPr>
            </w:pP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0481BF0C">
            <w:pPr>
              <w:keepNext/>
              <w:snapToGrid w:val="0"/>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sz w:val="21"/>
                <w:szCs w:val="21"/>
              </w:rPr>
              <w:t>已有设施、设备及管线的加固、保护等特殊情况下的施工措施：</w:t>
            </w:r>
          </w:p>
          <w:p w14:paraId="03D69216">
            <w:pPr>
              <w:keepNext/>
              <w:widowControl/>
              <w:snapToGrid w:val="0"/>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sz w:val="21"/>
                <w:szCs w:val="21"/>
              </w:rPr>
              <w:t>保证措施合理可行性高得5分，保证措施基本可行得3分，保证措施缺乏合理性得1分，无：0分；满分5分。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750B81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3E7C298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主观分</w:t>
            </w:r>
          </w:p>
        </w:tc>
      </w:tr>
      <w:tr w14:paraId="410AE6A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45C5ECFE">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企业综合实力</w:t>
            </w:r>
          </w:p>
        </w:tc>
      </w:tr>
      <w:tr w14:paraId="0382BB3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709C67A9">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3.1</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70A028A6">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企业资质1</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B863D63">
            <w:pPr>
              <w:keepNext/>
              <w:snapToGrid w:val="0"/>
              <w:rPr>
                <w:rFonts w:hint="default" w:ascii="Times New Roman" w:hAnsi="Times New Roman" w:eastAsia="方正仿宋_GBK" w:cs="Times New Roman"/>
                <w:szCs w:val="21"/>
              </w:rPr>
            </w:pPr>
            <w:r>
              <w:rPr>
                <w:rFonts w:hint="default" w:ascii="Times New Roman" w:hAnsi="Times New Roman" w:eastAsia="方正仿宋_GBK" w:cs="Times New Roman"/>
                <w:color w:val="000000"/>
                <w:kern w:val="0"/>
                <w:szCs w:val="21"/>
              </w:rPr>
              <w:t>投标人具有有效期内的</w:t>
            </w:r>
            <w:r>
              <w:rPr>
                <w:rFonts w:hint="default" w:ascii="Times New Roman" w:hAnsi="Times New Roman" w:eastAsia="方正仿宋_GBK" w:cs="Times New Roman"/>
                <w:szCs w:val="21"/>
              </w:rPr>
              <w:t>建筑工程施工总承包二级（含）以上资质</w:t>
            </w:r>
            <w:r>
              <w:rPr>
                <w:rFonts w:hint="default" w:ascii="Times New Roman" w:hAnsi="Times New Roman" w:eastAsia="方正仿宋_GBK" w:cs="Times New Roman"/>
                <w:color w:val="000000"/>
                <w:kern w:val="0"/>
                <w:szCs w:val="21"/>
              </w:rPr>
              <w:t>得3分，三级得1分，没有不得分。需提供资质证书复印件，不提供不得分。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3FB5643">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28E03BE5">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6EEEEF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4F65186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3.2</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7FDE866E">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企业资质2</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0F09BA1E">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投标人具有有效期内的电子与智能化工程专业承包一级得3分，二级得2分，其它不得分。需提供资质证书复印件，不提供不得分。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9D9A3B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6BD65B99">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客观分</w:t>
            </w:r>
          </w:p>
        </w:tc>
      </w:tr>
      <w:tr w14:paraId="1CB207B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461E00CA">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3.3</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BA04080">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企业资质3</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2C525249">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投标人具有有效期内的建筑装修装饰工程专业承包二级</w:t>
            </w:r>
            <w:r>
              <w:rPr>
                <w:rFonts w:hint="default" w:ascii="Times New Roman" w:hAnsi="Times New Roman" w:eastAsia="方正仿宋_GBK" w:cs="Times New Roman"/>
                <w:szCs w:val="21"/>
              </w:rPr>
              <w:t>（含）以上资质</w:t>
            </w:r>
            <w:r>
              <w:rPr>
                <w:rFonts w:hint="default" w:ascii="Times New Roman" w:hAnsi="Times New Roman" w:eastAsia="方正仿宋_GBK" w:cs="Times New Roman"/>
                <w:color w:val="000000"/>
                <w:kern w:val="0"/>
                <w:szCs w:val="21"/>
              </w:rPr>
              <w:t>得3分，三级得1分，没有不得分。需提供资质证书复印件，不提供不得分。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C6227E4">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1AD3D9FF">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3423731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399AC81D">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3.4</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3B3297F">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企业资质4</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3A4C556">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投标人具有有效期内的音视频集成工程企业能力等级壹级得3分，贰级得2分，其它不得分。需提供资质证书复印件，不提供不得分。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5DC08AB6">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3</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70576605">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客观分</w:t>
            </w:r>
          </w:p>
        </w:tc>
      </w:tr>
      <w:tr w14:paraId="24EF5CA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1BCE5704">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体系认证</w:t>
            </w:r>
          </w:p>
        </w:tc>
      </w:tr>
      <w:tr w14:paraId="43033B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B28453C">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4.1</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009B224F">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体系认证</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DC3CBBE">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具有质量管理体系认证、环境管理体系认证、职业健康安全管理体系认证、信息安全管理体系认证，每提供1个符合要求的认证得1分(同一管理体系认证不重复得分)，最多得4分。需提供有效证书复印件和中国国家认证认可监督管理委员会(http://www.cnca.gov.cn)或中国合格评定国家认可委员会(https://www.cnas.org.cn)网站的查询结果截图并注明网址，加盖投标人公章，否则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36F9653">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4</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76F6A436">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516235C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3B747120">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业绩</w:t>
            </w:r>
          </w:p>
        </w:tc>
      </w:tr>
      <w:tr w14:paraId="6759AA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16D4CEC1">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5.1</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379F07D1">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投标人业绩</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4B1493F5">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投标人提供2021年1月1日以后（以合同签订日期为准）承担过装修集成实施类项目，每提供1个得2分，最高得10分；需提供业绩合同复印件，不提供不得分。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1F8A7C9B">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10</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758F4E62">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75D97A7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5000" w:type="pct"/>
            <w:gridSpan w:val="5"/>
            <w:tcBorders>
              <w:top w:val="single" w:color="auto" w:sz="4" w:space="0"/>
              <w:left w:val="single" w:color="auto" w:sz="12" w:space="0"/>
              <w:bottom w:val="nil"/>
              <w:right w:val="single" w:color="auto" w:sz="12" w:space="0"/>
            </w:tcBorders>
            <w:noWrap w:val="0"/>
            <w:tcMar>
              <w:top w:w="-1" w:type="dxa"/>
              <w:left w:w="-1" w:type="dxa"/>
              <w:bottom w:w="-1" w:type="dxa"/>
              <w:right w:w="-1" w:type="dxa"/>
            </w:tcMar>
            <w:vAlign w:val="center"/>
          </w:tcPr>
          <w:p w14:paraId="10688009">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履约能力</w:t>
            </w:r>
          </w:p>
        </w:tc>
      </w:tr>
      <w:tr w14:paraId="545973E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0B9D52F3">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6.1</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0B0B623F">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项目负责人</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5641E4B7">
            <w:pPr>
              <w:keepNext/>
              <w:widowControl/>
              <w:numPr>
                <w:ilvl w:val="0"/>
                <w:numId w:val="1"/>
              </w:numPr>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项目经理具备有效期内的建筑工程专业一级建造师资格得6分，二级得3分。</w:t>
            </w:r>
          </w:p>
          <w:p w14:paraId="7AD7E096">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需提供相应证书复印件、以及投标单位缴纳至少近六个月社保证明（具有社保公章或具有可验证的二维码），不提供不得分。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683B40D3">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6</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5E475571">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41C4384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nil"/>
              <w:right w:val="nil"/>
            </w:tcBorders>
            <w:noWrap w:val="0"/>
            <w:tcMar>
              <w:top w:w="-1" w:type="dxa"/>
              <w:left w:w="-1" w:type="dxa"/>
              <w:bottom w:w="-1" w:type="dxa"/>
              <w:right w:w="-1" w:type="dxa"/>
            </w:tcMar>
            <w:vAlign w:val="center"/>
          </w:tcPr>
          <w:p w14:paraId="7A18AFEA">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6.2</w:t>
            </w:r>
          </w:p>
        </w:tc>
        <w:tc>
          <w:tcPr>
            <w:tcW w:w="655"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22506C8B">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拟投入本项目的团队成员</w:t>
            </w:r>
          </w:p>
        </w:tc>
        <w:tc>
          <w:tcPr>
            <w:tcW w:w="2921"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363B5295">
            <w:pPr>
              <w:keepNext/>
              <w:widowControl/>
              <w:snapToGrid w:val="0"/>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除项目负责人外，团队成员中具有注册安全工程师得2分、注册电气师得2分、注册造价工程师得2分、高级工程师职称得2分，最高得8分（如一人同时具有多个证书，则按照1个证书计列得分，不重复计列）。需提供相应证书复印件、以及投标单位缴纳至少近六个月社保证明（具有社保公章或具有可验证的二维码），不提供不得分。</w:t>
            </w:r>
          </w:p>
        </w:tc>
        <w:tc>
          <w:tcPr>
            <w:tcW w:w="377" w:type="pct"/>
            <w:tcBorders>
              <w:top w:val="single" w:color="auto" w:sz="4" w:space="0"/>
              <w:left w:val="single" w:color="auto" w:sz="4" w:space="0"/>
              <w:bottom w:val="nil"/>
              <w:right w:val="nil"/>
            </w:tcBorders>
            <w:noWrap w:val="0"/>
            <w:tcMar>
              <w:top w:w="-1" w:type="dxa"/>
              <w:left w:w="-1" w:type="dxa"/>
              <w:bottom w:w="-1" w:type="dxa"/>
              <w:right w:w="-1" w:type="dxa"/>
            </w:tcMar>
            <w:vAlign w:val="center"/>
          </w:tcPr>
          <w:p w14:paraId="32F4233C">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8</w:t>
            </w:r>
          </w:p>
        </w:tc>
        <w:tc>
          <w:tcPr>
            <w:tcW w:w="627" w:type="pct"/>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14:paraId="4FAC2CF8">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 xml:space="preserve">客观分 </w:t>
            </w:r>
          </w:p>
        </w:tc>
      </w:tr>
      <w:tr w14:paraId="4BCF5DF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417" w:type="pct"/>
            <w:tcBorders>
              <w:top w:val="single" w:color="auto" w:sz="4" w:space="0"/>
              <w:left w:val="single" w:color="auto" w:sz="12" w:space="0"/>
              <w:bottom w:val="single" w:color="auto" w:sz="12" w:space="0"/>
              <w:right w:val="nil"/>
            </w:tcBorders>
            <w:noWrap w:val="0"/>
            <w:tcMar>
              <w:top w:w="-1" w:type="dxa"/>
              <w:left w:w="-1" w:type="dxa"/>
              <w:bottom w:w="-1" w:type="dxa"/>
              <w:right w:w="-1" w:type="dxa"/>
            </w:tcMar>
            <w:vAlign w:val="center"/>
          </w:tcPr>
          <w:p w14:paraId="7CB8DE77">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合计</w:t>
            </w:r>
          </w:p>
        </w:tc>
        <w:tc>
          <w:tcPr>
            <w:tcW w:w="655" w:type="pct"/>
            <w:tcBorders>
              <w:top w:val="single" w:color="auto" w:sz="4" w:space="0"/>
              <w:left w:val="single" w:color="auto" w:sz="4" w:space="0"/>
              <w:bottom w:val="single" w:color="auto" w:sz="12" w:space="0"/>
              <w:right w:val="nil"/>
            </w:tcBorders>
            <w:noWrap w:val="0"/>
            <w:tcMar>
              <w:top w:w="-1" w:type="dxa"/>
              <w:left w:w="-1" w:type="dxa"/>
              <w:bottom w:w="-1" w:type="dxa"/>
              <w:right w:w="-1" w:type="dxa"/>
            </w:tcMar>
            <w:vAlign w:val="center"/>
          </w:tcPr>
          <w:p w14:paraId="2DE07BB3">
            <w:pPr>
              <w:keepNext/>
              <w:widowControl/>
              <w:snapToGrid w:val="0"/>
              <w:jc w:val="center"/>
              <w:rPr>
                <w:rFonts w:hint="default" w:ascii="Times New Roman" w:hAnsi="Times New Roman" w:eastAsia="方正仿宋_GBK" w:cs="Times New Roman"/>
                <w:color w:val="000000"/>
                <w:kern w:val="0"/>
                <w:szCs w:val="21"/>
              </w:rPr>
            </w:pPr>
            <w:r>
              <w:rPr>
                <w:rFonts w:hint="default" w:ascii="Times New Roman" w:hAnsi="Times New Roman" w:eastAsia="方正仿宋_GBK" w:cs="Times New Roman"/>
                <w:color w:val="000000"/>
                <w:kern w:val="0"/>
                <w:szCs w:val="21"/>
              </w:rPr>
              <w:t>总得分</w:t>
            </w:r>
          </w:p>
        </w:tc>
        <w:tc>
          <w:tcPr>
            <w:tcW w:w="2921" w:type="pct"/>
            <w:tcBorders>
              <w:top w:val="single" w:color="auto" w:sz="4" w:space="0"/>
              <w:left w:val="single" w:color="auto" w:sz="4" w:space="0"/>
              <w:bottom w:val="single" w:color="auto" w:sz="12" w:space="0"/>
              <w:right w:val="nil"/>
            </w:tcBorders>
            <w:noWrap w:val="0"/>
            <w:tcMar>
              <w:top w:w="-1" w:type="dxa"/>
              <w:left w:w="-1" w:type="dxa"/>
              <w:bottom w:w="-1" w:type="dxa"/>
              <w:right w:w="-1" w:type="dxa"/>
            </w:tcMar>
            <w:vAlign w:val="center"/>
          </w:tcPr>
          <w:p w14:paraId="15933B07">
            <w:pPr>
              <w:keepNext/>
              <w:widowControl/>
              <w:snapToGrid w:val="0"/>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　</w:t>
            </w:r>
          </w:p>
        </w:tc>
        <w:tc>
          <w:tcPr>
            <w:tcW w:w="377" w:type="pct"/>
            <w:tcBorders>
              <w:top w:val="single" w:color="auto" w:sz="4" w:space="0"/>
              <w:left w:val="single" w:color="auto" w:sz="4" w:space="0"/>
              <w:bottom w:val="single" w:color="auto" w:sz="12" w:space="0"/>
              <w:right w:val="nil"/>
            </w:tcBorders>
            <w:noWrap w:val="0"/>
            <w:tcMar>
              <w:top w:w="-1" w:type="dxa"/>
              <w:left w:w="-1" w:type="dxa"/>
              <w:bottom w:w="-1" w:type="dxa"/>
              <w:right w:w="-1" w:type="dxa"/>
            </w:tcMar>
            <w:vAlign w:val="center"/>
          </w:tcPr>
          <w:p w14:paraId="12FB17C0">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100</w:t>
            </w:r>
          </w:p>
        </w:tc>
        <w:tc>
          <w:tcPr>
            <w:tcW w:w="627" w:type="pct"/>
            <w:tcBorders>
              <w:top w:val="single" w:color="auto" w:sz="4" w:space="0"/>
              <w:left w:val="single" w:color="auto" w:sz="4" w:space="0"/>
              <w:bottom w:val="single" w:color="auto" w:sz="12" w:space="0"/>
              <w:right w:val="single" w:color="auto" w:sz="12" w:space="0"/>
            </w:tcBorders>
            <w:noWrap w:val="0"/>
            <w:tcMar>
              <w:top w:w="-1" w:type="dxa"/>
              <w:left w:w="-1" w:type="dxa"/>
              <w:bottom w:w="-1" w:type="dxa"/>
              <w:right w:w="-1" w:type="dxa"/>
            </w:tcMar>
            <w:vAlign w:val="center"/>
          </w:tcPr>
          <w:p w14:paraId="2E469386">
            <w:pPr>
              <w:keepNext/>
              <w:widowControl/>
              <w:snapToGrid w:val="0"/>
              <w:jc w:val="center"/>
              <w:rPr>
                <w:rFonts w:hint="default" w:ascii="Times New Roman" w:hAnsi="Times New Roman" w:eastAsia="方正仿宋_GBK" w:cs="Times New Roman"/>
                <w:b/>
                <w:bCs/>
                <w:color w:val="000000"/>
                <w:kern w:val="0"/>
                <w:szCs w:val="21"/>
              </w:rPr>
            </w:pPr>
            <w:r>
              <w:rPr>
                <w:rFonts w:hint="default" w:ascii="Times New Roman" w:hAnsi="Times New Roman" w:eastAsia="方正仿宋_GBK" w:cs="Times New Roman"/>
                <w:b/>
                <w:bCs/>
                <w:color w:val="000000"/>
                <w:kern w:val="0"/>
                <w:szCs w:val="21"/>
              </w:rPr>
              <w:t>　</w:t>
            </w:r>
          </w:p>
        </w:tc>
      </w:tr>
    </w:tbl>
    <w:p w14:paraId="013EE2F9">
      <w:pPr>
        <w:tabs>
          <w:tab w:val="left" w:pos="0"/>
        </w:tabs>
        <w:spacing w:line="360" w:lineRule="auto"/>
        <w:outlineLvl w:val="1"/>
        <w:rPr>
          <w:rFonts w:hint="eastAsia" w:ascii="宋体" w:hAnsi="宋体" w:eastAsia="宋体" w:cs="宋体"/>
          <w:b/>
          <w:bCs/>
          <w:color w:val="000000"/>
          <w:sz w:val="24"/>
          <w:szCs w:val="24"/>
          <w:highlight w:val="none"/>
        </w:rPr>
      </w:pPr>
      <w:bookmarkStart w:id="7" w:name="_Toc9314"/>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rPr>
        <w:t>、工程量清单编制依据</w:t>
      </w:r>
      <w:bookmarkEnd w:id="7"/>
    </w:p>
    <w:p w14:paraId="77626202">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招标人提供的设计的图纸</w:t>
      </w:r>
    </w:p>
    <w:p w14:paraId="08111FDE">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2.《建设工程工程量清单计价规范》（GB50500-2013）</w:t>
      </w:r>
    </w:p>
    <w:p w14:paraId="7FBB2428">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3.《江苏省建筑与装饰工程计价定额》（2014年）</w:t>
      </w:r>
    </w:p>
    <w:p w14:paraId="75F2AD96">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4.《江苏省安装工程计价定额》（2014年）</w:t>
      </w:r>
    </w:p>
    <w:p w14:paraId="042B37F0">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5.《江苏省修缮工程计价表》（2009年）</w:t>
      </w:r>
    </w:p>
    <w:p w14:paraId="5784CB77">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6.《江苏省建设工程费用定额》（2014年）</w:t>
      </w:r>
    </w:p>
    <w:p w14:paraId="0E55AFDD">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7.与该工程有关的图集和相关文件、规定</w:t>
      </w:r>
    </w:p>
    <w:p w14:paraId="104FC259">
      <w:pPr>
        <w:keepNext w:val="0"/>
        <w:keepLines w:val="0"/>
        <w:pageBreakBefore w:val="0"/>
        <w:widowControl w:val="0"/>
        <w:tabs>
          <w:tab w:val="left" w:pos="540"/>
        </w:tabs>
        <w:kinsoku/>
        <w:wordWrap/>
        <w:overflowPunct/>
        <w:topLinePunct w:val="0"/>
        <w:autoSpaceDE/>
        <w:autoSpaceDN/>
        <w:bidi w:val="0"/>
        <w:adjustRightInd/>
        <w:snapToGrid/>
        <w:spacing w:line="360" w:lineRule="auto"/>
        <w:ind w:left="420"/>
        <w:textAlignment w:val="auto"/>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8.其他相关规范要求。</w:t>
      </w:r>
    </w:p>
    <w:p w14:paraId="2F1B35E0">
      <w:pPr>
        <w:tabs>
          <w:tab w:val="left" w:pos="540"/>
        </w:tabs>
        <w:spacing w:line="360" w:lineRule="auto"/>
        <w:outlineLvl w:val="1"/>
        <w:rPr>
          <w:rFonts w:hint="eastAsia" w:ascii="宋体" w:hAnsi="宋体" w:eastAsia="宋体" w:cs="宋体"/>
          <w:color w:val="000000"/>
          <w:sz w:val="24"/>
          <w:szCs w:val="24"/>
          <w:highlight w:val="none"/>
        </w:rPr>
      </w:pPr>
      <w:bookmarkStart w:id="8" w:name="_Toc7141"/>
      <w:r>
        <w:rPr>
          <w:rFonts w:hint="eastAsia" w:ascii="宋体" w:hAnsi="宋体" w:eastAsia="宋体" w:cs="宋体"/>
          <w:b/>
          <w:iCs/>
          <w:color w:val="000000"/>
          <w:sz w:val="24"/>
          <w:szCs w:val="24"/>
          <w:highlight w:val="none"/>
          <w:lang w:val="en-US" w:eastAsia="zh-CN"/>
        </w:rPr>
        <w:t>四</w:t>
      </w:r>
      <w:r>
        <w:rPr>
          <w:rFonts w:hint="eastAsia" w:ascii="宋体" w:hAnsi="宋体" w:eastAsia="宋体" w:cs="宋体"/>
          <w:b/>
          <w:iCs/>
          <w:color w:val="000000"/>
          <w:sz w:val="24"/>
          <w:szCs w:val="24"/>
          <w:highlight w:val="none"/>
        </w:rPr>
        <w:t>、</w:t>
      </w:r>
      <w:r>
        <w:rPr>
          <w:rFonts w:hint="eastAsia" w:ascii="宋体" w:hAnsi="宋体" w:eastAsia="宋体" w:cs="宋体"/>
          <w:b/>
          <w:bCs/>
          <w:color w:val="000000"/>
          <w:sz w:val="24"/>
          <w:szCs w:val="24"/>
          <w:highlight w:val="none"/>
        </w:rPr>
        <w:t>编制说明</w:t>
      </w:r>
      <w:bookmarkEnd w:id="8"/>
    </w:p>
    <w:p w14:paraId="7AA57541">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1.根据图纸中的施工说明、工程的技术规范以及建筑工程计价清单规范的要   求，编制工程量清单中的特征描述；</w:t>
      </w:r>
    </w:p>
    <w:p w14:paraId="6CFB2F0D">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2.施工图纸如若与现场实际有差别或者变更，施工中根据实际工程量办理工程签证结算；</w:t>
      </w:r>
    </w:p>
    <w:p w14:paraId="095A6EC4">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.因现场条件及图纸不明因素需要深化所发生的费用，请投标人依据现场情况自行考虑在报价中；</w:t>
      </w:r>
    </w:p>
    <w:p w14:paraId="32108734">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.工程量清单中每一分部分项工程综合单价均应包括人工费、材料费、机械费、管理费、利润以及现行取费中的有关费用、有关文件规定的调价以及根据本招标文件要求的风险金等全部费用；</w:t>
      </w:r>
    </w:p>
    <w:p w14:paraId="776EE6AC">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.建筑垃圾外运项目包含装包搬运下楼，装车、内转等全部相关费用；</w:t>
      </w:r>
    </w:p>
    <w:p w14:paraId="0F24CD49">
      <w:pPr>
        <w:tabs>
          <w:tab w:val="left" w:pos="540"/>
        </w:tabs>
        <w:spacing w:line="360" w:lineRule="auto"/>
        <w:ind w:firstLine="480"/>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.本项目所有与水电有关的穿墙、穿板、打洞、开槽、穿梁、绕梁、套管、开孔、封堵、修补等一系列相关内容，请投标单位按规范，图纸要求自行考虑在单价中，施工中不另签证增加费用；</w:t>
      </w:r>
    </w:p>
    <w:p w14:paraId="1B0DDDF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.投标人在投标报价中需考虑</w:t>
      </w:r>
      <w:r>
        <w:rPr>
          <w:rFonts w:hint="eastAsia" w:ascii="宋体" w:hAnsi="宋体" w:eastAsia="宋体" w:cs="宋体"/>
          <w:color w:val="000000"/>
          <w:sz w:val="24"/>
          <w:szCs w:val="24"/>
          <w:highlight w:val="none"/>
          <w:lang w:val="en-US" w:eastAsia="zh-CN"/>
        </w:rPr>
        <w:t>成品保护的相关措施及</w:t>
      </w:r>
      <w:r>
        <w:rPr>
          <w:rFonts w:hint="eastAsia" w:ascii="宋体" w:hAnsi="宋体" w:eastAsia="宋体" w:cs="宋体"/>
          <w:color w:val="000000"/>
          <w:sz w:val="24"/>
          <w:szCs w:val="24"/>
          <w:highlight w:val="none"/>
        </w:rPr>
        <w:t>饰面材料洞口预留、修补，包括但不限于消防、燃气、新风、排气、空调等孔洞。墙地砖开孔、装饰项目收边收口嵌缝打玻璃胶、耐候胶的费用及垃圾清运费用等所有费用，施工中不另签证增加费用；</w:t>
      </w:r>
    </w:p>
    <w:p w14:paraId="149F543F">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综合单价及消耗量：各投标人在报价时应根据工程量清单并结合图纸中的有关大样和节点，依靠各自的施工经验自行测算材料和五金等相关配件，包括成品、半成品材料和配件的加工损耗、加工辅助材料费用、加工人工机械费用、采保费、运输费、包装费、上下力费等所有费用。中标后承包人在图纸深化设计时不得实质性改变招标图纸，但应负责对招标图中的缺陷进行必要的优化、深化和修正。对招标图缺陷的优化、深化和修正及审批确认、竣工图制作所导致的费用含在投标总价内，不另行计取费用</w:t>
      </w:r>
    </w:p>
    <w:p w14:paraId="23B72DC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rPr>
        <w:t>.本工程所使用砂浆全部按预拌砂浆考虑，干拌与湿拌由投标人自行考虑；</w:t>
      </w:r>
    </w:p>
    <w:p w14:paraId="29A1032B">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.分部分项工程量清单中“项目特征”内容描述不详的，以招标图纸和清单计价规范为准；</w:t>
      </w:r>
    </w:p>
    <w:p w14:paraId="12E3FC43">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.图纸要求及相关技术标准范围内的要求请考虑在投标报价中；</w:t>
      </w:r>
    </w:p>
    <w:p w14:paraId="7BAF4818">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.措施项目除清单给定的内容外，投标人应根据工程所在地的地质、交通等现场情况，自行充分考虑并报价，如有漏报，视作投标人让利，结算时不再调整；</w:t>
      </w:r>
    </w:p>
    <w:p w14:paraId="000384F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 xml:space="preserve">.投标人需现场实地踏勘，充分了解施工环境及其他足以影响报价及工期的因素以及采取的必要措施项目，投标人自行考虑并进入投标报价；               </w:t>
      </w:r>
    </w:p>
    <w:p w14:paraId="010B9F75">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 xml:space="preserve">.相关检测费用请投标单位自行考虑在报价中； </w:t>
      </w:r>
    </w:p>
    <w:p w14:paraId="39AF7EB7">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.未尽项目内容投标单位自行考虑，报价中视如包含未尽项目；</w:t>
      </w:r>
    </w:p>
    <w:p w14:paraId="3A17A3D0">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.除非合同另有规定，工程量清单中细目的单价理解为包括完成工程所需的人工费、材料费、机械使用费、管理费、利润等费用，以及合同明示或暗示的所有责任、义务和一般风险。</w:t>
      </w:r>
    </w:p>
    <w:p w14:paraId="652873C9">
      <w:pPr>
        <w:tabs>
          <w:tab w:val="left" w:pos="540"/>
        </w:tabs>
        <w:spacing w:line="360" w:lineRule="auto"/>
        <w:outlineLvl w:val="1"/>
        <w:rPr>
          <w:rFonts w:hint="eastAsia" w:ascii="宋体" w:hAnsi="宋体" w:eastAsia="宋体" w:cs="宋体"/>
          <w:b/>
          <w:iCs/>
          <w:color w:val="000000"/>
          <w:sz w:val="24"/>
          <w:szCs w:val="24"/>
          <w:highlight w:val="none"/>
        </w:rPr>
      </w:pPr>
      <w:bookmarkStart w:id="9" w:name="_Toc12446"/>
      <w:r>
        <w:rPr>
          <w:rFonts w:hint="eastAsia" w:ascii="宋体" w:hAnsi="宋体" w:eastAsia="宋体" w:cs="宋体"/>
          <w:b/>
          <w:iCs/>
          <w:color w:val="000000"/>
          <w:sz w:val="24"/>
          <w:szCs w:val="24"/>
          <w:highlight w:val="none"/>
          <w:lang w:val="en-US" w:eastAsia="zh-CN"/>
        </w:rPr>
        <w:t>五</w:t>
      </w:r>
      <w:r>
        <w:rPr>
          <w:rFonts w:hint="eastAsia" w:ascii="宋体" w:hAnsi="宋体" w:eastAsia="宋体" w:cs="宋体"/>
          <w:b/>
          <w:iCs/>
          <w:color w:val="000000"/>
          <w:sz w:val="24"/>
          <w:szCs w:val="24"/>
          <w:highlight w:val="none"/>
        </w:rPr>
        <w:t>、报价要求</w:t>
      </w:r>
      <w:bookmarkEnd w:id="9"/>
    </w:p>
    <w:p w14:paraId="38DECDFB">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1.本工程采用固定单价合同。</w:t>
      </w:r>
    </w:p>
    <w:p w14:paraId="3DF43ECB">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单价不可调，工程量根据工程施工实际情况，竣工并经</w:t>
      </w:r>
    </w:p>
    <w:p w14:paraId="205D00CF">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审计后按实结算。</w:t>
      </w:r>
    </w:p>
    <w:p w14:paraId="2ED7D828">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2.投标人投标报价不得低于其成本价。</w:t>
      </w:r>
    </w:p>
    <w:p w14:paraId="698D43D5">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中标价即为合同价，投标报价应包括人工费、材料费、机械设备费、运输费、施工水电费、验收费、技术服务费（包括技术资料、图纸提供等）、保险费、规费及税金等一切费用（即报价内容均涵盖报价要求之一切费用和伴随服务）。</w:t>
      </w:r>
    </w:p>
    <w:p w14:paraId="34D10D3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3.投标人必须按照招标文件规定的报价编制要求、工程量清单格式及要求进行报价，除了工程量清单报价，招标人不再接受其他任何形式的报价及说明（如降价函、报价修正函等）。</w:t>
      </w:r>
    </w:p>
    <w:p w14:paraId="766A4DF6">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供应商应充分考虑所有可能影响到报价的价格及政策等风险因素，根据工程量清单报各项单价，一旦中标，单价不予调整，工程竣工验收后，招标人按照中标人的投标预算单价和实际完成工程量送审，并按审计后总价进行项目结算。</w:t>
      </w:r>
    </w:p>
    <w:bookmarkEnd w:id="6"/>
    <w:p w14:paraId="1A4A1B4E">
      <w:pPr>
        <w:tabs>
          <w:tab w:val="left" w:pos="540"/>
        </w:tabs>
        <w:spacing w:line="360" w:lineRule="auto"/>
        <w:outlineLvl w:val="1"/>
        <w:rPr>
          <w:rFonts w:hint="eastAsia" w:ascii="宋体" w:hAnsi="宋体" w:eastAsia="宋体" w:cs="宋体"/>
          <w:b/>
          <w:iCs/>
          <w:color w:val="000000"/>
          <w:sz w:val="24"/>
          <w:szCs w:val="24"/>
          <w:highlight w:val="none"/>
        </w:rPr>
      </w:pPr>
      <w:bookmarkStart w:id="10" w:name="_Toc26972"/>
      <w:bookmarkStart w:id="11" w:name="_Toc20325"/>
      <w:r>
        <w:rPr>
          <w:rFonts w:hint="eastAsia" w:ascii="宋体" w:hAnsi="宋体" w:eastAsia="宋体" w:cs="宋体"/>
          <w:b/>
          <w:iCs/>
          <w:color w:val="000000"/>
          <w:sz w:val="24"/>
          <w:szCs w:val="24"/>
          <w:highlight w:val="none"/>
        </w:rPr>
        <w:t>六、其他要求</w:t>
      </w:r>
      <w:bookmarkEnd w:id="10"/>
    </w:p>
    <w:p w14:paraId="0A6FB662">
      <w:pPr>
        <w:tabs>
          <w:tab w:val="left" w:pos="540"/>
        </w:tabs>
        <w:spacing w:line="360" w:lineRule="auto"/>
        <w:ind w:firstLine="480"/>
        <w:rPr>
          <w:rFonts w:hint="eastAsia" w:ascii="宋体" w:hAnsi="宋体" w:eastAsia="宋体" w:cs="宋体"/>
          <w:color w:val="C00000"/>
          <w:sz w:val="24"/>
          <w:szCs w:val="24"/>
          <w:highlight w:val="none"/>
        </w:rPr>
      </w:pPr>
      <w:r>
        <w:rPr>
          <w:rFonts w:hint="eastAsia" w:ascii="宋体" w:hAnsi="宋体" w:eastAsia="宋体" w:cs="宋体"/>
          <w:color w:val="auto"/>
          <w:sz w:val="24"/>
          <w:szCs w:val="24"/>
          <w:highlight w:val="none"/>
        </w:rPr>
        <w:t>1.本工程项目总工期不超过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60 </w:t>
      </w:r>
      <w:r>
        <w:rPr>
          <w:rFonts w:hint="eastAsia" w:ascii="宋体" w:hAnsi="宋体" w:eastAsia="宋体" w:cs="宋体"/>
          <w:color w:val="auto"/>
          <w:sz w:val="24"/>
          <w:szCs w:val="24"/>
          <w:highlight w:val="none"/>
        </w:rPr>
        <w:t>日历天。</w:t>
      </w:r>
    </w:p>
    <w:p w14:paraId="06C8427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2.工程质量要求按照国家质量验收标准，综合评定指标达到国家质量验收 合格 标准。若质量验收评定不能达到合格，所造成的一切损失由施工单位承担。</w:t>
      </w:r>
    </w:p>
    <w:p w14:paraId="0660615D">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本工程由投标人自购的设备和材料，所用材料必须符合国家质量验收标准，其规格、技术指标、质量等级详见施工图及工程量清单，同时必须满足相应技术规范或技术标准的要求。如因承包人原因造成的材料复检的费用由承包人承担，由发包人指定检测单位。</w:t>
      </w:r>
    </w:p>
    <w:p w14:paraId="72FAB2C5">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4.投标人本工程采用品牌必须参考《主要材料品牌一览表》中的推荐品牌及相应质量要求报价，</w:t>
      </w:r>
      <w:r>
        <w:rPr>
          <w:rFonts w:hint="eastAsia" w:ascii="宋体" w:hAnsi="宋体" w:eastAsia="宋体" w:cs="宋体"/>
          <w:color w:val="000000"/>
          <w:sz w:val="24"/>
          <w:szCs w:val="24"/>
          <w:highlight w:val="none"/>
          <w:lang w:val="en-US" w:eastAsia="zh-CN"/>
        </w:rPr>
        <w:t>表中未标明要求的按照国产优质。</w:t>
      </w:r>
      <w:r>
        <w:rPr>
          <w:rFonts w:hint="eastAsia" w:ascii="宋体" w:hAnsi="宋体" w:eastAsia="宋体" w:cs="宋体"/>
          <w:color w:val="000000"/>
          <w:sz w:val="24"/>
          <w:szCs w:val="24"/>
          <w:highlight w:val="none"/>
        </w:rPr>
        <w:t>并清晰列出本工程项目中“投标人采用品牌”；如采用其他品牌时，可使用同档次以上品牌，应提供充分依据，证明采用的材料质量高于或相当于推荐品牌产品，否则其投标文件将被拒绝。</w:t>
      </w:r>
    </w:p>
    <w:p w14:paraId="61DCA9F7">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中标人在收到中标通知书后3个工作日内，须按校方要求提供工程人员安排和施工计划，如不能通过校方可行性审核，需在2个工作日内提供整改方案，如仍未通过审核，校方可取消其中标资格，纳入江苏开放大学“违约供应商名单”，由下一名中标候选人接替。</w:t>
      </w:r>
    </w:p>
    <w:p w14:paraId="7F1DE9F7">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中标人必须按照投标时提供的主要材料品牌及规格施工，不得擅自更换。否则视为违约，一经发现，更换主材处以违约金20万，更换辅材处以违约金10万。同时中标人必须按要求重新采购有关材料，并承担一切费用。相关金额招标人可从合同支付款中直接进行扣除。</w:t>
      </w:r>
    </w:p>
    <w:p w14:paraId="59DBAEA1">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项目进行过程中，校方将进行中期进度和质量检查，如不能达到相关进度和质量要求，校方可酌情扣除费用，也可以根据其改进情况决定是否解除合同，并纳入江苏开放大学“违约供应商名单”，三年之内不能参加学校任何招投标活动，情节严重的，将向省采购中心投诉。</w:t>
      </w:r>
    </w:p>
    <w:p w14:paraId="60006604">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中标人进场后应做好施工现场保护，施工期间不得造成柜、门、窗、走廊等设施或区域污损，并把老旧污渍清理干净。否则，验收时不论发现新旧乳胶漆等污渍，每处罚款100元；造成损坏的，在处罚的同时，还应恢复原状或照价赔偿。项目实施完成后，施工方须按校方要求进行细节处理及保洁等工作，达到验收要求后，校方组织正式验收。</w:t>
      </w:r>
    </w:p>
    <w:p w14:paraId="27FC75D5">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9.中标人须在合同约定的施工周期内完成全部施工，并经校方验收完成，若延期交付，每天处以合同价款的1%的违约金。</w:t>
      </w:r>
    </w:p>
    <w:p w14:paraId="2028BD3E">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10.免费质保期：两年。</w:t>
      </w:r>
    </w:p>
    <w:p w14:paraId="027C718A">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11.质量要求：合格。</w:t>
      </w:r>
    </w:p>
    <w:p w14:paraId="565B49EF">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12.品牌</w:t>
      </w:r>
    </w:p>
    <w:tbl>
      <w:tblPr>
        <w:tblStyle w:val="4"/>
        <w:tblW w:w="83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84"/>
        <w:gridCol w:w="1999"/>
        <w:gridCol w:w="1891"/>
        <w:gridCol w:w="2828"/>
        <w:gridCol w:w="822"/>
      </w:tblGrid>
      <w:tr w14:paraId="2F868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blHeader/>
          <w:jc w:val="center"/>
        </w:trPr>
        <w:tc>
          <w:tcPr>
            <w:tcW w:w="784" w:type="dxa"/>
            <w:noWrap w:val="0"/>
            <w:vAlign w:val="center"/>
          </w:tcPr>
          <w:p w14:paraId="48FF05D8">
            <w:pPr>
              <w:widowControl/>
              <w:snapToGrid w:val="0"/>
              <w:spacing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序号</w:t>
            </w:r>
          </w:p>
        </w:tc>
        <w:tc>
          <w:tcPr>
            <w:tcW w:w="1999" w:type="dxa"/>
            <w:noWrap w:val="0"/>
            <w:vAlign w:val="center"/>
          </w:tcPr>
          <w:p w14:paraId="50AAF9B6">
            <w:pPr>
              <w:widowControl/>
              <w:snapToGrid w:val="0"/>
              <w:spacing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材料名称</w:t>
            </w:r>
          </w:p>
        </w:tc>
        <w:tc>
          <w:tcPr>
            <w:tcW w:w="1891" w:type="dxa"/>
            <w:noWrap w:val="0"/>
            <w:vAlign w:val="center"/>
          </w:tcPr>
          <w:p w14:paraId="4991CAAE">
            <w:pPr>
              <w:widowControl/>
              <w:snapToGrid w:val="0"/>
              <w:spacing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规格要求</w:t>
            </w:r>
          </w:p>
        </w:tc>
        <w:tc>
          <w:tcPr>
            <w:tcW w:w="2828" w:type="dxa"/>
            <w:noWrap w:val="0"/>
            <w:vAlign w:val="center"/>
          </w:tcPr>
          <w:p w14:paraId="2F81A803">
            <w:pPr>
              <w:widowControl/>
              <w:snapToGrid w:val="0"/>
              <w:spacing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品牌范围</w:t>
            </w:r>
          </w:p>
        </w:tc>
        <w:tc>
          <w:tcPr>
            <w:tcW w:w="822" w:type="dxa"/>
            <w:noWrap w:val="0"/>
            <w:vAlign w:val="center"/>
          </w:tcPr>
          <w:p w14:paraId="7E04D3E8">
            <w:pPr>
              <w:widowControl/>
              <w:snapToGrid w:val="0"/>
              <w:spacing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备注</w:t>
            </w:r>
          </w:p>
        </w:tc>
      </w:tr>
      <w:tr w14:paraId="7D9D5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7ABFBAF7">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w:t>
            </w:r>
          </w:p>
        </w:tc>
        <w:tc>
          <w:tcPr>
            <w:tcW w:w="1999" w:type="dxa"/>
            <w:noWrap w:val="0"/>
            <w:vAlign w:val="center"/>
          </w:tcPr>
          <w:p w14:paraId="306F1577">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轻钢龙骨</w:t>
            </w:r>
          </w:p>
        </w:tc>
        <w:tc>
          <w:tcPr>
            <w:tcW w:w="1891" w:type="dxa"/>
            <w:noWrap w:val="0"/>
            <w:vAlign w:val="center"/>
          </w:tcPr>
          <w:p w14:paraId="64174BD4">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3C216DF4">
            <w:pPr>
              <w:widowControl/>
              <w:snapToGrid w:val="0"/>
              <w:spacing w:line="240" w:lineRule="auto"/>
              <w:ind w:left="0" w:leftChars="0" w:right="0" w:rightChars="0" w:firstLine="0" w:firstLineChars="0"/>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bidi="ar"/>
              </w:rPr>
              <w:t>龙牌、可耐福</w:t>
            </w:r>
            <w:r>
              <w:rPr>
                <w:rFonts w:hint="eastAsia" w:ascii="宋体" w:hAnsi="宋体" w:eastAsia="宋体" w:cs="宋体"/>
                <w:color w:val="000000"/>
                <w:sz w:val="21"/>
                <w:szCs w:val="21"/>
                <w:highlight w:val="none"/>
                <w:lang w:eastAsia="zh-CN" w:bidi="ar"/>
              </w:rPr>
              <w:t>、</w:t>
            </w:r>
            <w:r>
              <w:rPr>
                <w:rFonts w:hint="eastAsia" w:ascii="宋体" w:hAnsi="宋体" w:eastAsia="宋体" w:cs="宋体"/>
                <w:color w:val="000000"/>
                <w:sz w:val="21"/>
                <w:szCs w:val="21"/>
                <w:highlight w:val="none"/>
                <w:lang w:val="en-US" w:eastAsia="zh-CN" w:bidi="ar"/>
              </w:rPr>
              <w:t>泰山</w:t>
            </w:r>
          </w:p>
        </w:tc>
        <w:tc>
          <w:tcPr>
            <w:tcW w:w="822" w:type="dxa"/>
            <w:noWrap w:val="0"/>
            <w:vAlign w:val="center"/>
          </w:tcPr>
          <w:p w14:paraId="4C39D8B5">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0B8E6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14650F99">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w:t>
            </w:r>
          </w:p>
        </w:tc>
        <w:tc>
          <w:tcPr>
            <w:tcW w:w="1999" w:type="dxa"/>
            <w:noWrap w:val="0"/>
            <w:vAlign w:val="center"/>
          </w:tcPr>
          <w:p w14:paraId="24DAA87E">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乳胶漆</w:t>
            </w:r>
          </w:p>
        </w:tc>
        <w:tc>
          <w:tcPr>
            <w:tcW w:w="1891" w:type="dxa"/>
            <w:noWrap w:val="0"/>
            <w:vAlign w:val="center"/>
          </w:tcPr>
          <w:p w14:paraId="1743C685">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环保型</w:t>
            </w:r>
          </w:p>
        </w:tc>
        <w:tc>
          <w:tcPr>
            <w:tcW w:w="2828" w:type="dxa"/>
            <w:noWrap w:val="0"/>
            <w:vAlign w:val="center"/>
          </w:tcPr>
          <w:p w14:paraId="004A54F3">
            <w:pPr>
              <w:widowControl/>
              <w:snapToGrid w:val="0"/>
              <w:spacing w:line="240" w:lineRule="auto"/>
              <w:ind w:left="0" w:leftChars="0" w:right="0" w:rightChars="0" w:firstLine="0" w:firstLineChars="0"/>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bidi="ar"/>
              </w:rPr>
              <w:t>多乐士</w:t>
            </w:r>
            <w:r>
              <w:rPr>
                <w:rFonts w:hint="eastAsia" w:ascii="宋体" w:hAnsi="宋体" w:eastAsia="宋体" w:cs="宋体"/>
                <w:color w:val="000000"/>
                <w:sz w:val="21"/>
                <w:szCs w:val="21"/>
                <w:highlight w:val="none"/>
                <w:lang w:eastAsia="zh-CN" w:bidi="ar"/>
              </w:rPr>
              <w:t>、</w:t>
            </w:r>
            <w:r>
              <w:rPr>
                <w:rFonts w:hint="eastAsia" w:ascii="宋体" w:hAnsi="宋体" w:eastAsia="宋体" w:cs="宋体"/>
                <w:color w:val="000000"/>
                <w:sz w:val="21"/>
                <w:szCs w:val="21"/>
                <w:highlight w:val="none"/>
                <w:lang w:bidi="ar"/>
              </w:rPr>
              <w:t>立邦</w:t>
            </w:r>
            <w:r>
              <w:rPr>
                <w:rFonts w:hint="eastAsia" w:ascii="宋体" w:hAnsi="宋体" w:eastAsia="宋体" w:cs="宋体"/>
                <w:color w:val="000000"/>
                <w:sz w:val="21"/>
                <w:szCs w:val="21"/>
                <w:highlight w:val="none"/>
                <w:lang w:eastAsia="zh-CN" w:bidi="ar"/>
              </w:rPr>
              <w:t>、</w:t>
            </w:r>
            <w:r>
              <w:rPr>
                <w:rFonts w:hint="eastAsia" w:ascii="宋体" w:hAnsi="宋体" w:eastAsia="宋体" w:cs="宋体"/>
                <w:color w:val="000000"/>
                <w:sz w:val="21"/>
                <w:szCs w:val="21"/>
                <w:highlight w:val="none"/>
                <w:lang w:val="en-US" w:eastAsia="zh-CN" w:bidi="ar"/>
              </w:rPr>
              <w:t>长江</w:t>
            </w:r>
          </w:p>
        </w:tc>
        <w:tc>
          <w:tcPr>
            <w:tcW w:w="822" w:type="dxa"/>
            <w:noWrap w:val="0"/>
            <w:vAlign w:val="center"/>
          </w:tcPr>
          <w:p w14:paraId="4B065AFF">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2CFFC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213EAF46">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3</w:t>
            </w:r>
          </w:p>
        </w:tc>
        <w:tc>
          <w:tcPr>
            <w:tcW w:w="1999" w:type="dxa"/>
            <w:noWrap w:val="0"/>
            <w:vAlign w:val="center"/>
          </w:tcPr>
          <w:p w14:paraId="519AC821">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硅钙板</w:t>
            </w:r>
          </w:p>
        </w:tc>
        <w:tc>
          <w:tcPr>
            <w:tcW w:w="1891" w:type="dxa"/>
            <w:noWrap w:val="0"/>
            <w:vAlign w:val="center"/>
          </w:tcPr>
          <w:p w14:paraId="75882175">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6224DC03">
            <w:pPr>
              <w:widowControl/>
              <w:snapToGrid w:val="0"/>
              <w:spacing w:line="240" w:lineRule="auto"/>
              <w:ind w:left="0" w:leftChars="0" w:right="0" w:rightChars="0" w:firstLine="0" w:firstLineChars="0"/>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bidi="ar"/>
              </w:rPr>
              <w:t>龙牌、杰科</w:t>
            </w:r>
            <w:r>
              <w:rPr>
                <w:rFonts w:hint="eastAsia" w:ascii="宋体" w:hAnsi="宋体" w:eastAsia="宋体" w:cs="宋体"/>
                <w:color w:val="000000"/>
                <w:sz w:val="21"/>
                <w:szCs w:val="21"/>
                <w:highlight w:val="none"/>
                <w:lang w:eastAsia="zh-CN" w:bidi="ar"/>
              </w:rPr>
              <w:t>、</w:t>
            </w:r>
            <w:r>
              <w:rPr>
                <w:rFonts w:hint="eastAsia" w:ascii="宋体" w:hAnsi="宋体" w:eastAsia="宋体" w:cs="宋体"/>
                <w:color w:val="000000"/>
                <w:sz w:val="21"/>
                <w:szCs w:val="21"/>
                <w:highlight w:val="none"/>
                <w:lang w:val="en-US" w:eastAsia="zh-CN" w:bidi="ar"/>
              </w:rPr>
              <w:t>泰山</w:t>
            </w:r>
          </w:p>
        </w:tc>
        <w:tc>
          <w:tcPr>
            <w:tcW w:w="822" w:type="dxa"/>
            <w:noWrap w:val="0"/>
            <w:vAlign w:val="center"/>
          </w:tcPr>
          <w:p w14:paraId="0D8D2570">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3D4F1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1DC0CF3F">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bidi="ar"/>
              </w:rPr>
              <w:t>4</w:t>
            </w:r>
          </w:p>
        </w:tc>
        <w:tc>
          <w:tcPr>
            <w:tcW w:w="1999" w:type="dxa"/>
            <w:noWrap w:val="0"/>
            <w:vAlign w:val="center"/>
          </w:tcPr>
          <w:p w14:paraId="506FDE47">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插座、开关</w:t>
            </w:r>
          </w:p>
        </w:tc>
        <w:tc>
          <w:tcPr>
            <w:tcW w:w="1891" w:type="dxa"/>
            <w:noWrap w:val="0"/>
            <w:vAlign w:val="center"/>
          </w:tcPr>
          <w:p w14:paraId="48126AE6">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1E8DACF4">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bidi="ar"/>
              </w:rPr>
              <w:t>TCL、</w:t>
            </w:r>
            <w:r>
              <w:rPr>
                <w:rFonts w:hint="eastAsia" w:ascii="宋体" w:hAnsi="宋体" w:eastAsia="宋体" w:cs="宋体"/>
                <w:color w:val="000000"/>
                <w:sz w:val="21"/>
                <w:szCs w:val="21"/>
                <w:highlight w:val="none"/>
                <w:lang w:val="en-US" w:eastAsia="zh-CN" w:bidi="ar"/>
              </w:rPr>
              <w:t>西门子</w:t>
            </w: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val="en-US" w:eastAsia="zh-CN" w:bidi="ar"/>
              </w:rPr>
              <w:t>公牛</w:t>
            </w:r>
          </w:p>
        </w:tc>
        <w:tc>
          <w:tcPr>
            <w:tcW w:w="822" w:type="dxa"/>
            <w:noWrap w:val="0"/>
            <w:vAlign w:val="center"/>
          </w:tcPr>
          <w:p w14:paraId="6B4152FC">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4CDD0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64B12581">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bidi="ar"/>
              </w:rPr>
              <w:t>5</w:t>
            </w:r>
          </w:p>
        </w:tc>
        <w:tc>
          <w:tcPr>
            <w:tcW w:w="1999" w:type="dxa"/>
            <w:noWrap w:val="0"/>
            <w:vAlign w:val="center"/>
          </w:tcPr>
          <w:p w14:paraId="6B311BCC">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电线、电缆</w:t>
            </w:r>
          </w:p>
        </w:tc>
        <w:tc>
          <w:tcPr>
            <w:tcW w:w="1891" w:type="dxa"/>
            <w:noWrap w:val="0"/>
            <w:vAlign w:val="center"/>
          </w:tcPr>
          <w:p w14:paraId="225EBC59">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0AF274F3">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远东、</w:t>
            </w:r>
            <w:r>
              <w:rPr>
                <w:rFonts w:hint="eastAsia" w:ascii="宋体" w:hAnsi="宋体" w:eastAsia="宋体" w:cs="宋体"/>
                <w:color w:val="000000"/>
                <w:sz w:val="21"/>
                <w:szCs w:val="21"/>
                <w:highlight w:val="none"/>
                <w:lang w:val="en-US" w:eastAsia="zh-CN" w:bidi="ar"/>
              </w:rPr>
              <w:t>上上</w:t>
            </w:r>
            <w:r>
              <w:rPr>
                <w:rFonts w:hint="eastAsia" w:ascii="宋体" w:hAnsi="宋体" w:eastAsia="宋体" w:cs="宋体"/>
                <w:color w:val="000000"/>
                <w:sz w:val="21"/>
                <w:szCs w:val="21"/>
                <w:highlight w:val="none"/>
                <w:lang w:bidi="ar"/>
              </w:rPr>
              <w:t>、江南</w:t>
            </w:r>
          </w:p>
        </w:tc>
        <w:tc>
          <w:tcPr>
            <w:tcW w:w="822" w:type="dxa"/>
            <w:noWrap w:val="0"/>
            <w:vAlign w:val="center"/>
          </w:tcPr>
          <w:p w14:paraId="7E70C174">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1BC5D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03C77376">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bidi="ar"/>
              </w:rPr>
              <w:t>6</w:t>
            </w:r>
          </w:p>
        </w:tc>
        <w:tc>
          <w:tcPr>
            <w:tcW w:w="1999" w:type="dxa"/>
            <w:noWrap w:val="0"/>
            <w:vAlign w:val="center"/>
          </w:tcPr>
          <w:p w14:paraId="556B536C">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bidi="ar"/>
              </w:rPr>
              <w:t>KBG</w:t>
            </w:r>
            <w:r>
              <w:rPr>
                <w:rFonts w:hint="eastAsia" w:ascii="宋体" w:hAnsi="宋体" w:eastAsia="宋体" w:cs="宋体"/>
                <w:color w:val="000000"/>
                <w:sz w:val="21"/>
                <w:szCs w:val="21"/>
                <w:highlight w:val="none"/>
                <w:lang w:bidi="ar"/>
              </w:rPr>
              <w:t>电线管</w:t>
            </w:r>
          </w:p>
        </w:tc>
        <w:tc>
          <w:tcPr>
            <w:tcW w:w="1891" w:type="dxa"/>
            <w:noWrap w:val="0"/>
            <w:vAlign w:val="center"/>
          </w:tcPr>
          <w:p w14:paraId="1E94F542">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765F5CC7">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bidi="ar"/>
              </w:rPr>
              <w:t>金牛</w:t>
            </w:r>
            <w:r>
              <w:rPr>
                <w:rFonts w:hint="eastAsia" w:ascii="宋体" w:hAnsi="宋体" w:eastAsia="宋体" w:cs="宋体"/>
                <w:color w:val="000000"/>
                <w:sz w:val="21"/>
                <w:szCs w:val="21"/>
                <w:highlight w:val="none"/>
                <w:lang w:bidi="ar"/>
              </w:rPr>
              <w:t>、公元、</w:t>
            </w:r>
            <w:r>
              <w:rPr>
                <w:rFonts w:hint="eastAsia" w:ascii="宋体" w:hAnsi="宋体" w:eastAsia="宋体" w:cs="宋体"/>
                <w:color w:val="000000"/>
                <w:sz w:val="21"/>
                <w:szCs w:val="21"/>
                <w:highlight w:val="none"/>
                <w:lang w:val="en-US" w:eastAsia="zh-CN" w:bidi="ar"/>
              </w:rPr>
              <w:t>联塑</w:t>
            </w:r>
          </w:p>
        </w:tc>
        <w:tc>
          <w:tcPr>
            <w:tcW w:w="822" w:type="dxa"/>
            <w:noWrap w:val="0"/>
            <w:vAlign w:val="center"/>
          </w:tcPr>
          <w:p w14:paraId="750D800C">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6D924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57809512">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bidi="ar"/>
              </w:rPr>
              <w:t>7</w:t>
            </w:r>
          </w:p>
        </w:tc>
        <w:tc>
          <w:tcPr>
            <w:tcW w:w="1999" w:type="dxa"/>
            <w:noWrap w:val="0"/>
            <w:vAlign w:val="center"/>
          </w:tcPr>
          <w:p w14:paraId="5B227B10">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灯具</w:t>
            </w:r>
          </w:p>
        </w:tc>
        <w:tc>
          <w:tcPr>
            <w:tcW w:w="1891" w:type="dxa"/>
            <w:noWrap w:val="0"/>
            <w:vAlign w:val="center"/>
          </w:tcPr>
          <w:p w14:paraId="2D36258A">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16A650D8">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TCL、雷士、欧普</w:t>
            </w:r>
          </w:p>
        </w:tc>
        <w:tc>
          <w:tcPr>
            <w:tcW w:w="822" w:type="dxa"/>
            <w:noWrap w:val="0"/>
            <w:vAlign w:val="center"/>
          </w:tcPr>
          <w:p w14:paraId="2BE3C71E">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101F8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1160D0A5">
            <w:pPr>
              <w:widowControl/>
              <w:snapToGrid w:val="0"/>
              <w:spacing w:line="240" w:lineRule="auto"/>
              <w:ind w:left="0" w:leftChars="0" w:right="0" w:rightChars="0" w:firstLine="0" w:firstLineChars="0"/>
              <w:jc w:val="center"/>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8</w:t>
            </w:r>
          </w:p>
        </w:tc>
        <w:tc>
          <w:tcPr>
            <w:tcW w:w="1999" w:type="dxa"/>
            <w:noWrap w:val="0"/>
            <w:vAlign w:val="center"/>
          </w:tcPr>
          <w:p w14:paraId="65C98BE3">
            <w:pPr>
              <w:widowControl/>
              <w:snapToGrid w:val="0"/>
              <w:spacing w:line="240" w:lineRule="auto"/>
              <w:ind w:left="0" w:leftChars="0" w:right="0" w:rightChars="0" w:firstLine="0" w:firstLineChars="0"/>
              <w:jc w:val="center"/>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网络机柜</w:t>
            </w:r>
          </w:p>
        </w:tc>
        <w:tc>
          <w:tcPr>
            <w:tcW w:w="1891" w:type="dxa"/>
            <w:noWrap w:val="0"/>
            <w:vAlign w:val="center"/>
          </w:tcPr>
          <w:p w14:paraId="3A143421">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38243C13">
            <w:pPr>
              <w:widowControl/>
              <w:snapToGrid w:val="0"/>
              <w:spacing w:line="240" w:lineRule="auto"/>
              <w:ind w:left="0" w:leftChars="0" w:right="0" w:rightChars="0" w:firstLine="0" w:firstLineChars="0"/>
              <w:jc w:val="left"/>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图腾、大唐、一览</w:t>
            </w:r>
          </w:p>
        </w:tc>
        <w:tc>
          <w:tcPr>
            <w:tcW w:w="822" w:type="dxa"/>
            <w:noWrap w:val="0"/>
            <w:vAlign w:val="center"/>
          </w:tcPr>
          <w:p w14:paraId="0B21CA95">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10BC1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7E87734B">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9</w:t>
            </w:r>
          </w:p>
        </w:tc>
        <w:tc>
          <w:tcPr>
            <w:tcW w:w="1999" w:type="dxa"/>
            <w:noWrap w:val="0"/>
            <w:vAlign w:val="center"/>
          </w:tcPr>
          <w:p w14:paraId="7819C15B">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网络线</w:t>
            </w:r>
          </w:p>
        </w:tc>
        <w:tc>
          <w:tcPr>
            <w:tcW w:w="1891" w:type="dxa"/>
            <w:noWrap w:val="0"/>
            <w:vAlign w:val="center"/>
          </w:tcPr>
          <w:p w14:paraId="2D5DC0B6">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69C98668">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康普、西蒙、罗格朗</w:t>
            </w:r>
          </w:p>
        </w:tc>
        <w:tc>
          <w:tcPr>
            <w:tcW w:w="822" w:type="dxa"/>
            <w:noWrap w:val="0"/>
            <w:vAlign w:val="center"/>
          </w:tcPr>
          <w:p w14:paraId="48AA547B">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r w14:paraId="792CD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84" w:type="dxa"/>
            <w:noWrap w:val="0"/>
            <w:vAlign w:val="center"/>
          </w:tcPr>
          <w:p w14:paraId="47310D58">
            <w:pPr>
              <w:widowControl/>
              <w:snapToGrid w:val="0"/>
              <w:spacing w:line="240" w:lineRule="auto"/>
              <w:ind w:left="0" w:leftChars="0" w:right="0" w:rightChars="0" w:firstLine="0" w:firstLineChars="0"/>
              <w:jc w:val="center"/>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10</w:t>
            </w:r>
          </w:p>
        </w:tc>
        <w:tc>
          <w:tcPr>
            <w:tcW w:w="1999" w:type="dxa"/>
            <w:noWrap w:val="0"/>
            <w:vAlign w:val="center"/>
          </w:tcPr>
          <w:p w14:paraId="0CE2E578">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配电箱内部电器</w:t>
            </w:r>
          </w:p>
        </w:tc>
        <w:tc>
          <w:tcPr>
            <w:tcW w:w="1891" w:type="dxa"/>
            <w:noWrap w:val="0"/>
            <w:vAlign w:val="center"/>
          </w:tcPr>
          <w:p w14:paraId="5655EE7F">
            <w:pPr>
              <w:widowControl/>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符合设计要求</w:t>
            </w:r>
          </w:p>
        </w:tc>
        <w:tc>
          <w:tcPr>
            <w:tcW w:w="2828" w:type="dxa"/>
            <w:noWrap w:val="0"/>
            <w:vAlign w:val="center"/>
          </w:tcPr>
          <w:p w14:paraId="49249A96">
            <w:pPr>
              <w:widowControl/>
              <w:snapToGrid w:val="0"/>
              <w:spacing w:line="240" w:lineRule="auto"/>
              <w:ind w:left="0" w:leftChars="0" w:right="0" w:rightChars="0" w:firstLine="0" w:firstLineChars="0"/>
              <w:jc w:val="left"/>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ABB、施耐德、</w:t>
            </w:r>
            <w:r>
              <w:rPr>
                <w:rFonts w:hint="eastAsia" w:ascii="宋体" w:hAnsi="宋体" w:eastAsia="宋体" w:cs="宋体"/>
                <w:color w:val="000000"/>
                <w:sz w:val="21"/>
                <w:szCs w:val="21"/>
                <w:highlight w:val="none"/>
                <w:lang w:val="en-US" w:eastAsia="zh-CN" w:bidi="ar"/>
              </w:rPr>
              <w:t>西门子</w:t>
            </w:r>
          </w:p>
        </w:tc>
        <w:tc>
          <w:tcPr>
            <w:tcW w:w="822" w:type="dxa"/>
            <w:noWrap w:val="0"/>
            <w:vAlign w:val="center"/>
          </w:tcPr>
          <w:p w14:paraId="628E0245">
            <w:pPr>
              <w:snapToGrid w:val="0"/>
              <w:spacing w:line="240" w:lineRule="auto"/>
              <w:ind w:left="0" w:leftChars="0" w:right="0" w:rightChars="0" w:firstLine="0" w:firstLineChars="0"/>
              <w:jc w:val="center"/>
              <w:rPr>
                <w:rFonts w:hint="eastAsia" w:ascii="宋体" w:hAnsi="宋体" w:eastAsia="宋体" w:cs="宋体"/>
                <w:color w:val="000000"/>
                <w:sz w:val="21"/>
                <w:szCs w:val="21"/>
                <w:highlight w:val="none"/>
              </w:rPr>
            </w:pPr>
          </w:p>
        </w:tc>
      </w:tr>
    </w:tbl>
    <w:p w14:paraId="031D0DA0">
      <w:pPr>
        <w:tabs>
          <w:tab w:val="left" w:pos="540"/>
        </w:tabs>
        <w:spacing w:line="360" w:lineRule="auto"/>
        <w:ind w:firstLine="480"/>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备注：</w:t>
      </w:r>
      <w:r>
        <w:rPr>
          <w:rFonts w:hint="eastAsia" w:ascii="宋体" w:hAnsi="宋体" w:eastAsia="宋体" w:cs="宋体"/>
          <w:b/>
          <w:bCs/>
          <w:color w:val="000000"/>
          <w:sz w:val="24"/>
          <w:szCs w:val="24"/>
          <w:highlight w:val="none"/>
        </w:rPr>
        <w:t>投标人本工程采用品牌必须参考《主要材料品牌一览表》中的推荐品牌及相应质量要求报价，并清晰列出本工程项目中“投标人采用品牌”；如采用其他品牌时，应提供充分依据，证明采用的材料质量高于或相当于推荐品牌产品，否则其投标文件将视为无效标处理。</w:t>
      </w:r>
    </w:p>
    <w:p w14:paraId="7F3EA0D6">
      <w:pPr>
        <w:tabs>
          <w:tab w:val="left" w:pos="540"/>
        </w:tabs>
        <w:spacing w:line="360" w:lineRule="auto"/>
        <w:outlineLvl w:val="1"/>
        <w:rPr>
          <w:rFonts w:hint="eastAsia" w:ascii="宋体" w:hAnsi="宋体" w:eastAsia="宋体" w:cs="宋体"/>
          <w:b/>
          <w:iCs/>
          <w:color w:val="000000"/>
          <w:sz w:val="24"/>
          <w:szCs w:val="24"/>
          <w:highlight w:val="none"/>
        </w:rPr>
      </w:pPr>
      <w:bookmarkStart w:id="12" w:name="_Toc24663"/>
      <w:r>
        <w:rPr>
          <w:rFonts w:hint="eastAsia" w:ascii="宋体" w:hAnsi="宋体" w:eastAsia="宋体" w:cs="宋体"/>
          <w:b/>
          <w:iCs/>
          <w:color w:val="000000"/>
          <w:sz w:val="24"/>
          <w:szCs w:val="24"/>
          <w:highlight w:val="none"/>
        </w:rPr>
        <w:t>七、履约</w:t>
      </w:r>
      <w:bookmarkEnd w:id="12"/>
    </w:p>
    <w:p w14:paraId="0445C266">
      <w:pPr>
        <w:tabs>
          <w:tab w:val="left" w:pos="540"/>
        </w:tabs>
        <w:spacing w:line="360" w:lineRule="auto"/>
        <w:ind w:firstLine="480"/>
        <w:rPr>
          <w:rFonts w:hint="eastAsia" w:ascii="宋体" w:hAnsi="宋体" w:eastAsia="宋体" w:cs="宋体"/>
          <w:color w:val="000000"/>
          <w:sz w:val="24"/>
          <w:szCs w:val="24"/>
          <w:highlight w:val="none"/>
        </w:rPr>
      </w:pPr>
      <w:bookmarkStart w:id="13" w:name="_Toc17909"/>
      <w:r>
        <w:rPr>
          <w:rFonts w:hint="eastAsia" w:ascii="宋体" w:hAnsi="宋体" w:eastAsia="宋体" w:cs="宋体"/>
          <w:color w:val="000000"/>
          <w:sz w:val="24"/>
          <w:szCs w:val="24"/>
          <w:highlight w:val="none"/>
        </w:rPr>
        <w:t>如果在中标公示后5个工作日不能达到校方要求或者故意拖延导致不能签订合同的，或者无故放弃中标的，校方将取消其中标资格，并纳入江苏开放大学“违约供应商名单”，三年之内不能参加学校任何招投标活动，情节严重的，将向省采购中心投诉。</w:t>
      </w:r>
    </w:p>
    <w:p w14:paraId="09798EFF">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履约保证金在项目验收合格后10个工作日内退还给中标单位。</w:t>
      </w:r>
    </w:p>
    <w:p w14:paraId="663D7B5F">
      <w:pPr>
        <w:tabs>
          <w:tab w:val="left" w:pos="540"/>
        </w:tabs>
        <w:spacing w:line="360" w:lineRule="auto"/>
        <w:outlineLvl w:val="1"/>
        <w:rPr>
          <w:rFonts w:hint="eastAsia" w:ascii="宋体" w:hAnsi="宋体" w:eastAsia="宋体" w:cs="宋体"/>
          <w:b/>
          <w:iCs/>
          <w:color w:val="000000"/>
          <w:sz w:val="24"/>
          <w:szCs w:val="24"/>
          <w:highlight w:val="none"/>
        </w:rPr>
      </w:pPr>
      <w:r>
        <w:rPr>
          <w:rFonts w:hint="eastAsia" w:ascii="宋体" w:hAnsi="宋体" w:eastAsia="宋体" w:cs="宋体"/>
          <w:b/>
          <w:iCs/>
          <w:color w:val="000000"/>
          <w:sz w:val="24"/>
          <w:szCs w:val="24"/>
          <w:highlight w:val="none"/>
        </w:rPr>
        <w:t>八、付款方式</w:t>
      </w:r>
      <w:bookmarkEnd w:id="13"/>
    </w:p>
    <w:p w14:paraId="7B0473EC">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双方约定的工程款(进度款)支付的方式和时间：</w:t>
      </w:r>
    </w:p>
    <w:p w14:paraId="4EC5612D">
      <w:pPr>
        <w:tabs>
          <w:tab w:val="left" w:pos="540"/>
        </w:tabs>
        <w:spacing w:line="360" w:lineRule="auto"/>
        <w:ind w:firstLine="480"/>
        <w:rPr>
          <w:rFonts w:hint="default" w:ascii="宋体" w:hAnsi="宋体" w:eastAsia="宋体" w:cs="宋体"/>
          <w:color w:val="000000"/>
          <w:sz w:val="24"/>
          <w:szCs w:val="24"/>
          <w:highlight w:val="none"/>
          <w:lang w:val="en-US" w:eastAsia="zh-CN"/>
        </w:rPr>
      </w:pPr>
      <w:bookmarkStart w:id="14" w:name="_Toc27358"/>
      <w:r>
        <w:rPr>
          <w:rFonts w:hint="eastAsia" w:ascii="宋体" w:hAnsi="宋体" w:eastAsia="宋体" w:cs="宋体"/>
          <w:color w:val="000000"/>
          <w:sz w:val="24"/>
          <w:szCs w:val="24"/>
          <w:highlight w:val="none"/>
        </w:rPr>
        <w:t>1.预</w:t>
      </w:r>
      <w:r>
        <w:rPr>
          <w:rFonts w:hint="eastAsia" w:ascii="宋体" w:hAnsi="宋体" w:eastAsia="宋体" w:cs="宋体"/>
          <w:color w:val="000000"/>
          <w:sz w:val="24"/>
          <w:szCs w:val="24"/>
          <w:highlight w:val="none"/>
          <w:lang w:val="en-US" w:eastAsia="zh-CN"/>
        </w:rPr>
        <w:t>付合同价</w:t>
      </w:r>
      <w:r>
        <w:rPr>
          <w:rFonts w:hint="eastAsia" w:ascii="宋体" w:hAnsi="宋体" w:eastAsia="宋体" w:cs="宋体"/>
          <w:color w:val="000000"/>
          <w:sz w:val="24"/>
          <w:szCs w:val="24"/>
          <w:highlight w:val="none"/>
        </w:rPr>
        <w:t>款</w:t>
      </w:r>
      <w:r>
        <w:rPr>
          <w:rFonts w:hint="eastAsia" w:ascii="宋体" w:hAnsi="宋体" w:eastAsia="宋体" w:cs="宋体"/>
          <w:color w:val="000000"/>
          <w:sz w:val="24"/>
          <w:szCs w:val="24"/>
          <w:highlight w:val="none"/>
          <w:lang w:eastAsia="zh-CN"/>
        </w:rPr>
        <w:t>的</w:t>
      </w:r>
      <w:r>
        <w:rPr>
          <w:rFonts w:hint="eastAsia" w:ascii="宋体" w:hAnsi="宋体" w:eastAsia="宋体" w:cs="宋体"/>
          <w:color w:val="000000"/>
          <w:sz w:val="24"/>
          <w:szCs w:val="24"/>
          <w:highlight w:val="none"/>
          <w:lang w:val="en-US" w:eastAsia="zh-CN"/>
        </w:rPr>
        <w:t>30%；</w:t>
      </w:r>
    </w:p>
    <w:p w14:paraId="41878026">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2.工程竣工经甲方验收合格后</w:t>
      </w:r>
      <w:r>
        <w:rPr>
          <w:rFonts w:hint="eastAsia" w:ascii="宋体" w:hAnsi="宋体" w:eastAsia="宋体" w:cs="宋体"/>
          <w:color w:val="000000"/>
          <w:sz w:val="24"/>
          <w:szCs w:val="24"/>
          <w:highlight w:val="none"/>
          <w:lang w:val="en-US" w:eastAsia="zh-CN"/>
        </w:rPr>
        <w:t>再</w:t>
      </w:r>
      <w:r>
        <w:rPr>
          <w:rFonts w:hint="eastAsia" w:ascii="宋体" w:hAnsi="宋体" w:eastAsia="宋体" w:cs="宋体"/>
          <w:color w:val="000000"/>
          <w:sz w:val="24"/>
          <w:szCs w:val="24"/>
          <w:highlight w:val="none"/>
        </w:rPr>
        <w:t>付合同价款的</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0%；</w:t>
      </w:r>
    </w:p>
    <w:p w14:paraId="1F42B4E8">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3.经审计并根据核减率扣除相应审计费用,留审计价3%作为工程质保金后一次性付清剩余款项；</w:t>
      </w:r>
    </w:p>
    <w:p w14:paraId="2FB500BA">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4.质保期满后无质量问题，一周内支付</w:t>
      </w:r>
      <w:r>
        <w:rPr>
          <w:rFonts w:hint="eastAsia" w:ascii="宋体" w:hAnsi="宋体" w:eastAsia="宋体" w:cs="宋体"/>
          <w:color w:val="000000"/>
          <w:sz w:val="24"/>
          <w:szCs w:val="24"/>
          <w:highlight w:val="none"/>
          <w:lang w:val="en-US" w:eastAsia="zh-CN"/>
        </w:rPr>
        <w:t>审计价</w:t>
      </w:r>
      <w:r>
        <w:rPr>
          <w:rFonts w:hint="eastAsia" w:ascii="宋体" w:hAnsi="宋体" w:eastAsia="宋体" w:cs="宋体"/>
          <w:color w:val="000000"/>
          <w:sz w:val="24"/>
          <w:szCs w:val="24"/>
          <w:highlight w:val="none"/>
        </w:rPr>
        <w:t>3%工程质保金。</w:t>
      </w:r>
    </w:p>
    <w:p w14:paraId="2BD8DAD1">
      <w:pPr>
        <w:tabs>
          <w:tab w:val="left" w:pos="540"/>
        </w:tabs>
        <w:spacing w:line="360" w:lineRule="auto"/>
        <w:outlineLvl w:val="1"/>
        <w:rPr>
          <w:rFonts w:hint="eastAsia" w:ascii="宋体" w:hAnsi="宋体" w:eastAsia="宋体" w:cs="宋体"/>
          <w:b/>
          <w:iCs/>
          <w:color w:val="000000"/>
          <w:sz w:val="24"/>
          <w:szCs w:val="24"/>
          <w:highlight w:val="none"/>
        </w:rPr>
      </w:pPr>
      <w:r>
        <w:rPr>
          <w:rFonts w:hint="eastAsia" w:ascii="宋体" w:hAnsi="宋体" w:eastAsia="宋体" w:cs="宋体"/>
          <w:b/>
          <w:iCs/>
          <w:color w:val="000000"/>
          <w:sz w:val="24"/>
          <w:szCs w:val="24"/>
          <w:highlight w:val="none"/>
        </w:rPr>
        <w:t>九、工程量清单：</w:t>
      </w:r>
      <w:bookmarkEnd w:id="14"/>
    </w:p>
    <w:p w14:paraId="71A0A752">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详见附件。</w:t>
      </w:r>
      <w:bookmarkEnd w:id="11"/>
    </w:p>
    <w:p w14:paraId="1CB87EEB">
      <w:pPr>
        <w:tabs>
          <w:tab w:val="left" w:pos="540"/>
        </w:tabs>
        <w:spacing w:line="360" w:lineRule="auto"/>
        <w:outlineLvl w:val="1"/>
        <w:rPr>
          <w:rFonts w:hint="eastAsia" w:ascii="宋体" w:hAnsi="宋体" w:eastAsia="宋体" w:cs="宋体"/>
          <w:b/>
          <w:iCs/>
          <w:color w:val="000000"/>
          <w:sz w:val="24"/>
          <w:szCs w:val="24"/>
          <w:highlight w:val="none"/>
        </w:rPr>
      </w:pPr>
      <w:bookmarkStart w:id="15" w:name="_Toc6791"/>
      <w:bookmarkStart w:id="16" w:name="_Toc32369"/>
      <w:r>
        <w:rPr>
          <w:rFonts w:hint="eastAsia" w:ascii="宋体" w:hAnsi="宋体" w:eastAsia="宋体" w:cs="宋体"/>
          <w:b/>
          <w:iCs/>
          <w:color w:val="000000"/>
          <w:sz w:val="24"/>
          <w:szCs w:val="24"/>
          <w:highlight w:val="none"/>
        </w:rPr>
        <w:t>十、其他说明：</w:t>
      </w:r>
      <w:bookmarkEnd w:id="15"/>
      <w:bookmarkEnd w:id="16"/>
    </w:p>
    <w:p w14:paraId="7FE7F0A8">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1.本工程清单内已“项”“间”为单位计入子目，投标人需现场勘察后根据实际情况测算报价，本项目费用实行一次包干使用结算不予调整；</w:t>
      </w:r>
    </w:p>
    <w:p w14:paraId="4B941E09">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2.对于项目特征实质上一致的两条或两条以上分部分项清单项目，投标人所报综合单价应一致，对于综合单价不一致的清单项目，结算时将按照价格最低的执行，投标人需在报价时综合考虑；</w:t>
      </w:r>
    </w:p>
    <w:p w14:paraId="4AE07DBC">
      <w:pPr>
        <w:tabs>
          <w:tab w:val="left" w:pos="540"/>
        </w:tabs>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3.请投标人谨慎运用不平衡报价，招标文件合同中有关于变更价款调整规定，请仔细阅读理解，投标人的报价默认认可了合同中有关价格调整的约定，后期不得以任何理由拒绝按合同执行。</w:t>
      </w:r>
    </w:p>
    <w:p w14:paraId="2FB7CAD9">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AE4211A-3806-464F-A4EA-1752CA8BB65A}"/>
  </w:font>
  <w:font w:name="微软雅黑">
    <w:panose1 w:val="020B0503020204020204"/>
    <w:charset w:val="86"/>
    <w:family w:val="auto"/>
    <w:pitch w:val="default"/>
    <w:sig w:usb0="80000287" w:usb1="2ACF3C50" w:usb2="00000016" w:usb3="00000000" w:csb0="0004001F" w:csb1="00000000"/>
  </w:font>
  <w:font w:name="楷体_GB2312">
    <w:altName w:val="楷体"/>
    <w:panose1 w:val="02010609060101010101"/>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方正仿宋_GBK">
    <w:panose1 w:val="02000000000000000000"/>
    <w:charset w:val="86"/>
    <w:family w:val="auto"/>
    <w:pitch w:val="default"/>
    <w:sig w:usb0="A00002BF" w:usb1="38CF7CFA" w:usb2="00082016" w:usb3="00000000" w:csb0="00040001" w:csb1="00000000"/>
    <w:embedRegular r:id="rId2" w:fontKey="{F943353B-FEA3-4FDD-9EC5-B560CA88AA7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3A4EE"/>
    <w:multiLevelType w:val="singleLevel"/>
    <w:tmpl w:val="7363A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15580"/>
    <w:rsid w:val="0B2B77D7"/>
    <w:rsid w:val="1540604D"/>
    <w:rsid w:val="1A1B2FA9"/>
    <w:rsid w:val="23A92ED3"/>
    <w:rsid w:val="35B419DB"/>
    <w:rsid w:val="3BAB1070"/>
    <w:rsid w:val="3C1B60B8"/>
    <w:rsid w:val="3F433E5A"/>
    <w:rsid w:val="40183EC1"/>
    <w:rsid w:val="49E03E4B"/>
    <w:rsid w:val="4AC170B1"/>
    <w:rsid w:val="4E834887"/>
    <w:rsid w:val="4F16222A"/>
    <w:rsid w:val="54EDA394"/>
    <w:rsid w:val="588B2C30"/>
    <w:rsid w:val="5A224244"/>
    <w:rsid w:val="63076D84"/>
    <w:rsid w:val="66E14981"/>
    <w:rsid w:val="67F14E02"/>
    <w:rsid w:val="69192872"/>
    <w:rsid w:val="7607161D"/>
    <w:rsid w:val="7BBB0EFC"/>
    <w:rsid w:val="EFF7C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微软雅黑" w:cs="Times New Roman"/>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文本1"/>
    <w:basedOn w:val="1"/>
    <w:qFormat/>
    <w:uiPriority w:val="0"/>
    <w:rPr>
      <w:rFonts w:ascii="楷体_GB2312" w:hAnsi="Arial" w:eastAsia="楷体_GB2312"/>
      <w:sz w:val="28"/>
    </w:rPr>
  </w:style>
  <w:style w:type="paragraph" w:styleId="3">
    <w:name w:val="annotation text"/>
    <w:basedOn w:val="1"/>
    <w:uiPriority w:val="0"/>
    <w:pPr>
      <w:jc w:val="left"/>
    </w:pPr>
  </w:style>
  <w:style w:type="paragraph" w:customStyle="1" w:styleId="6">
    <w:name w:val="标题 11"/>
    <w:basedOn w:val="1"/>
    <w:next w:val="1"/>
    <w:qFormat/>
    <w:uiPriority w:val="0"/>
    <w:pPr>
      <w:keepNext/>
      <w:keepLines/>
      <w:spacing w:before="340" w:after="330"/>
      <w:jc w:val="center"/>
      <w:outlineLvl w:val="0"/>
    </w:pPr>
    <w:rPr>
      <w:rFonts w:eastAsia="宋体"/>
      <w:b/>
      <w:bCs/>
      <w:sz w:val="32"/>
      <w:szCs w:val="44"/>
    </w:rPr>
  </w:style>
  <w:style w:type="character" w:customStyle="1" w:styleId="7">
    <w:name w:val="标题 1 字符"/>
    <w:link w:val="8"/>
    <w:qFormat/>
    <w:uiPriority w:val="9"/>
    <w:rPr>
      <w:rFonts w:ascii="Arial" w:hAnsi="Arial" w:eastAsia="宋体"/>
      <w:b/>
      <w:sz w:val="30"/>
      <w:szCs w:val="40"/>
    </w:rPr>
  </w:style>
  <w:style w:type="paragraph" w:customStyle="1" w:styleId="8">
    <w:name w:val="标题 111"/>
    <w:basedOn w:val="1"/>
    <w:next w:val="1"/>
    <w:link w:val="7"/>
    <w:qFormat/>
    <w:uiPriority w:val="9"/>
    <w:pPr>
      <w:keepNext/>
      <w:keepLines/>
      <w:spacing w:before="480" w:after="200"/>
      <w:jc w:val="center"/>
      <w:outlineLvl w:val="0"/>
    </w:pPr>
    <w:rPr>
      <w:rFonts w:ascii="Arial" w:hAnsi="Arial" w:eastAsia="宋体"/>
      <w:b/>
      <w:sz w:val="30"/>
      <w:szCs w:val="4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3593</Words>
  <Characters>3706</Characters>
  <Lines>0</Lines>
  <Paragraphs>0</Paragraphs>
  <TotalTime>1</TotalTime>
  <ScaleCrop>false</ScaleCrop>
  <LinksUpToDate>false</LinksUpToDate>
  <CharactersWithSpaces>3733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2026-04-09T14:30:00Z</dcterms:created>
  <dc:creator>Admin</dc:creator>
  <cp:lastModifiedBy>非虎</cp:lastModifiedBy>
  <dcterms:modified xsi:type="dcterms:W3CDTF">2026-04-20T11:48:54Z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eyJoZGlkIjoiZTAzYTFmZTE1ZTIwMDIwNzIyODIxMzIxYzU3ZjI4N2YiLCJ1c2VySWQiOiIyNTk1MzI0NTkifQ==</vt:lpwstr>
  </property>
  <property fmtid="{D5CDD505-2E9C-101B-9397-08002B2CF9AE}" pid="4" name="ICV">
    <vt:lpwstr>7E80666E1CB6433396FC6C2A558BDECC_13</vt:lpwstr>
  </property>
</Properties>
</file>