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7A28D">
      <w:pPr>
        <w:jc w:val="center"/>
        <w:rPr>
          <w:rFonts w:hint="eastAsia" w:ascii="宋体" w:hAnsi="宋体" w:eastAsia="宋体"/>
          <w:sz w:val="28"/>
          <w:szCs w:val="28"/>
          <w:lang w:eastAsia="zh-CN"/>
        </w:rPr>
      </w:pPr>
      <w:bookmarkStart w:id="0" w:name="_GoBack"/>
      <w:r>
        <w:rPr>
          <w:rFonts w:hint="eastAsia" w:ascii="宋体" w:hAnsi="宋体"/>
          <w:sz w:val="28"/>
          <w:szCs w:val="28"/>
          <w:lang w:eastAsia="zh-CN"/>
        </w:rPr>
        <w:t>江苏开放大学制造业智改数转技术产业学院实验室建设项目改造工程</w:t>
      </w:r>
      <w:bookmarkEnd w:id="0"/>
    </w:p>
    <w:p w14:paraId="4A432E1B">
      <w:pPr>
        <w:jc w:val="center"/>
        <w:rPr>
          <w:rFonts w:ascii="宋体" w:hAnsi="宋体"/>
          <w:sz w:val="30"/>
          <w:szCs w:val="30"/>
        </w:rPr>
      </w:pPr>
      <w:r>
        <w:rPr>
          <w:rFonts w:hint="eastAsia" w:ascii="宋体" w:hAnsi="宋体"/>
          <w:sz w:val="30"/>
          <w:szCs w:val="30"/>
        </w:rPr>
        <w:t>工程量清单编制说明</w:t>
      </w:r>
    </w:p>
    <w:p w14:paraId="24CA2915">
      <w:pPr>
        <w:spacing w:line="360" w:lineRule="auto"/>
        <w:ind w:firstLine="482" w:firstLineChars="200"/>
        <w:rPr>
          <w:rFonts w:ascii="宋体"/>
          <w:b/>
          <w:sz w:val="24"/>
        </w:rPr>
      </w:pPr>
      <w:r>
        <w:rPr>
          <w:rFonts w:hint="eastAsia" w:ascii="宋体" w:hAnsi="宋体"/>
          <w:b/>
          <w:sz w:val="24"/>
        </w:rPr>
        <w:t>一、工程概况：</w:t>
      </w:r>
    </w:p>
    <w:p w14:paraId="1D826AAB">
      <w:pPr>
        <w:spacing w:line="360" w:lineRule="auto"/>
        <w:ind w:firstLine="480" w:firstLineChars="200"/>
        <w:rPr>
          <w:rFonts w:hint="eastAsia" w:ascii="宋体" w:eastAsia="宋体"/>
          <w:sz w:val="24"/>
          <w:lang w:eastAsia="zh-CN"/>
        </w:rPr>
      </w:pPr>
      <w:r>
        <w:rPr>
          <w:rFonts w:ascii="宋体" w:hAnsi="宋体"/>
          <w:sz w:val="24"/>
        </w:rPr>
        <w:t>1</w:t>
      </w:r>
      <w:r>
        <w:rPr>
          <w:rFonts w:hint="eastAsia" w:ascii="宋体" w:hAnsi="宋体"/>
          <w:sz w:val="24"/>
        </w:rPr>
        <w:t>、本工程为</w:t>
      </w:r>
      <w:r>
        <w:rPr>
          <w:rFonts w:hint="eastAsia" w:ascii="宋体" w:hAnsi="宋体"/>
          <w:sz w:val="24"/>
          <w:lang w:eastAsia="zh-CN"/>
        </w:rPr>
        <w:t>江苏开放大学制造业智改数转技术产业学院实验室建设项目改造工程</w:t>
      </w:r>
    </w:p>
    <w:p w14:paraId="7A5C1BDD">
      <w:pPr>
        <w:spacing w:line="360" w:lineRule="auto"/>
        <w:ind w:firstLine="480" w:firstLineChars="200"/>
        <w:rPr>
          <w:rFonts w:hint="default" w:ascii="宋体" w:eastAsia="宋体"/>
          <w:sz w:val="24"/>
          <w:lang w:val="en-US" w:eastAsia="zh-CN"/>
        </w:rPr>
      </w:pPr>
      <w:r>
        <w:rPr>
          <w:rFonts w:ascii="宋体" w:hAnsi="宋体"/>
          <w:sz w:val="24"/>
        </w:rPr>
        <w:t>2</w:t>
      </w:r>
      <w:r>
        <w:rPr>
          <w:rFonts w:hint="eastAsia" w:ascii="宋体" w:hAnsi="宋体"/>
          <w:sz w:val="24"/>
        </w:rPr>
        <w:t>、工程范围：</w:t>
      </w:r>
      <w:r>
        <w:rPr>
          <w:rFonts w:hint="eastAsia" w:ascii="宋体" w:hAnsi="宋体"/>
          <w:sz w:val="24"/>
          <w:lang w:val="en-US" w:eastAsia="zh-CN"/>
        </w:rPr>
        <w:t>招标及图纸</w:t>
      </w:r>
      <w:r>
        <w:rPr>
          <w:rFonts w:hint="eastAsia" w:ascii="宋体" w:hAnsi="宋体"/>
          <w:sz w:val="24"/>
        </w:rPr>
        <w:t>范围内</w:t>
      </w:r>
    </w:p>
    <w:p w14:paraId="56732E6A">
      <w:pPr>
        <w:spacing w:line="360" w:lineRule="auto"/>
        <w:ind w:firstLine="480" w:firstLineChars="200"/>
        <w:rPr>
          <w:rFonts w:ascii="宋体"/>
          <w:sz w:val="24"/>
        </w:rPr>
      </w:pPr>
      <w:r>
        <w:rPr>
          <w:rFonts w:ascii="宋体" w:hAnsi="宋体"/>
          <w:sz w:val="24"/>
        </w:rPr>
        <w:t>3</w:t>
      </w:r>
      <w:r>
        <w:rPr>
          <w:rFonts w:hint="eastAsia" w:ascii="宋体" w:hAnsi="宋体"/>
          <w:sz w:val="24"/>
        </w:rPr>
        <w:t>、计划工期：详见招标文件</w:t>
      </w:r>
    </w:p>
    <w:p w14:paraId="231DAFD2">
      <w:pPr>
        <w:spacing w:line="360" w:lineRule="auto"/>
        <w:ind w:firstLine="480" w:firstLineChars="200"/>
        <w:rPr>
          <w:rFonts w:ascii="宋体"/>
          <w:sz w:val="24"/>
        </w:rPr>
      </w:pPr>
      <w:r>
        <w:rPr>
          <w:rFonts w:ascii="宋体" w:hAnsi="宋体"/>
          <w:sz w:val="24"/>
        </w:rPr>
        <w:t>4</w:t>
      </w:r>
      <w:r>
        <w:rPr>
          <w:rFonts w:hint="eastAsia" w:ascii="宋体" w:hAnsi="宋体"/>
          <w:sz w:val="24"/>
        </w:rPr>
        <w:t>、施工现场实际情况：详见招标文件</w:t>
      </w:r>
    </w:p>
    <w:p w14:paraId="601D930F">
      <w:pPr>
        <w:spacing w:line="360" w:lineRule="auto"/>
        <w:ind w:firstLine="482" w:firstLineChars="200"/>
        <w:rPr>
          <w:rFonts w:ascii="宋体"/>
          <w:b/>
          <w:sz w:val="24"/>
        </w:rPr>
      </w:pPr>
      <w:r>
        <w:rPr>
          <w:rFonts w:hint="eastAsia" w:ascii="宋体" w:hAnsi="宋体"/>
          <w:b/>
          <w:sz w:val="24"/>
        </w:rPr>
        <w:t>二、工程量清单编制依据：</w:t>
      </w:r>
    </w:p>
    <w:p w14:paraId="1D1B814D">
      <w:pPr>
        <w:spacing w:line="360" w:lineRule="auto"/>
        <w:ind w:left="120" w:leftChars="57" w:firstLine="360" w:firstLineChars="150"/>
        <w:rPr>
          <w:rFonts w:hint="eastAsia" w:ascii="宋体" w:eastAsia="宋体"/>
          <w:sz w:val="24"/>
          <w:lang w:val="en-US" w:eastAsia="zh-CN"/>
        </w:rPr>
      </w:pPr>
      <w:r>
        <w:rPr>
          <w:rFonts w:ascii="宋体" w:hAnsi="宋体"/>
          <w:sz w:val="24"/>
        </w:rPr>
        <w:t>1</w:t>
      </w:r>
      <w:r>
        <w:rPr>
          <w:rFonts w:hint="eastAsia" w:ascii="宋体" w:hAnsi="宋体"/>
          <w:sz w:val="24"/>
        </w:rPr>
        <w:t>、招标人提供</w:t>
      </w:r>
      <w:r>
        <w:rPr>
          <w:rFonts w:hint="eastAsia" w:ascii="宋体" w:hAnsi="宋体"/>
          <w:sz w:val="24"/>
          <w:lang w:val="en-US" w:eastAsia="zh-CN"/>
        </w:rPr>
        <w:t>招标单</w:t>
      </w:r>
    </w:p>
    <w:p w14:paraId="78D672D0">
      <w:pPr>
        <w:spacing w:line="360" w:lineRule="auto"/>
        <w:ind w:firstLine="480" w:firstLineChars="200"/>
        <w:rPr>
          <w:rFonts w:ascii="宋体"/>
          <w:sz w:val="24"/>
        </w:rPr>
      </w:pPr>
      <w:r>
        <w:rPr>
          <w:rFonts w:ascii="宋体" w:hAnsi="宋体"/>
          <w:sz w:val="24"/>
        </w:rPr>
        <w:t>2</w:t>
      </w:r>
      <w:r>
        <w:rPr>
          <w:rFonts w:hint="eastAsia" w:ascii="宋体" w:hAnsi="宋体"/>
          <w:sz w:val="24"/>
        </w:rPr>
        <w:t>、《建设工程工程量清单计价规范》（</w:t>
      </w:r>
      <w:r>
        <w:rPr>
          <w:rFonts w:ascii="宋体" w:hAnsi="宋体"/>
          <w:sz w:val="24"/>
        </w:rPr>
        <w:t>GB50500-2013</w:t>
      </w:r>
      <w:r>
        <w:rPr>
          <w:rFonts w:hint="eastAsia" w:ascii="宋体" w:hAnsi="宋体"/>
          <w:sz w:val="24"/>
        </w:rPr>
        <w:t>）</w:t>
      </w:r>
    </w:p>
    <w:p w14:paraId="7C10D38A">
      <w:pPr>
        <w:spacing w:line="360" w:lineRule="auto"/>
        <w:ind w:firstLine="480" w:firstLineChars="200"/>
        <w:rPr>
          <w:rFonts w:ascii="宋体"/>
          <w:sz w:val="24"/>
        </w:rPr>
      </w:pPr>
      <w:r>
        <w:rPr>
          <w:rFonts w:ascii="宋体" w:hAnsi="宋体"/>
          <w:sz w:val="24"/>
        </w:rPr>
        <w:t>3</w:t>
      </w:r>
      <w:r>
        <w:rPr>
          <w:rFonts w:hint="eastAsia" w:ascii="宋体" w:hAnsi="宋体"/>
          <w:sz w:val="24"/>
        </w:rPr>
        <w:t>、《江苏省建筑与装饰工程计价定额》（</w:t>
      </w:r>
      <w:r>
        <w:rPr>
          <w:rFonts w:ascii="宋体" w:hAnsi="宋体"/>
          <w:sz w:val="24"/>
        </w:rPr>
        <w:t>2014</w:t>
      </w:r>
      <w:r>
        <w:rPr>
          <w:rFonts w:hint="eastAsia" w:ascii="宋体" w:hAnsi="宋体"/>
          <w:sz w:val="24"/>
        </w:rPr>
        <w:t>年）</w:t>
      </w:r>
    </w:p>
    <w:p w14:paraId="76F6F679">
      <w:pPr>
        <w:spacing w:line="360" w:lineRule="auto"/>
        <w:ind w:firstLine="480" w:firstLineChars="200"/>
        <w:rPr>
          <w:rFonts w:ascii="宋体" w:hAnsi="宋体"/>
          <w:sz w:val="24"/>
        </w:rPr>
      </w:pPr>
      <w:r>
        <w:rPr>
          <w:rFonts w:hint="eastAsia" w:ascii="宋体" w:hAnsi="宋体"/>
          <w:sz w:val="24"/>
          <w:lang w:val="en-US" w:eastAsia="zh-CN"/>
        </w:rPr>
        <w:t>4</w:t>
      </w:r>
      <w:r>
        <w:rPr>
          <w:rFonts w:hint="eastAsia" w:ascii="宋体" w:hAnsi="宋体"/>
          <w:sz w:val="24"/>
        </w:rPr>
        <w:t>、《江苏省修缮工程计价表》（</w:t>
      </w:r>
      <w:r>
        <w:rPr>
          <w:rFonts w:ascii="宋体" w:hAnsi="宋体"/>
          <w:sz w:val="24"/>
        </w:rPr>
        <w:t>2009</w:t>
      </w:r>
      <w:r>
        <w:rPr>
          <w:rFonts w:hint="eastAsia" w:ascii="宋体" w:hAnsi="宋体"/>
          <w:sz w:val="24"/>
        </w:rPr>
        <w:t>年）</w:t>
      </w:r>
    </w:p>
    <w:p w14:paraId="2FC48C30">
      <w:pPr>
        <w:spacing w:line="360" w:lineRule="auto"/>
        <w:ind w:firstLine="480" w:firstLineChars="200"/>
        <w:rPr>
          <w:rFonts w:ascii="宋体" w:hAnsi="宋体"/>
          <w:sz w:val="24"/>
        </w:rPr>
      </w:pPr>
      <w:r>
        <w:rPr>
          <w:rFonts w:hint="eastAsia" w:ascii="宋体" w:hAnsi="宋体"/>
          <w:sz w:val="24"/>
          <w:lang w:val="en-US" w:eastAsia="zh-CN"/>
        </w:rPr>
        <w:t>5</w:t>
      </w:r>
      <w:r>
        <w:rPr>
          <w:rFonts w:hint="eastAsia" w:ascii="宋体" w:hAnsi="宋体"/>
          <w:sz w:val="24"/>
        </w:rPr>
        <w:t>、《江苏省建设工程费用定额》（</w:t>
      </w:r>
      <w:r>
        <w:rPr>
          <w:rFonts w:ascii="宋体" w:hAnsi="宋体"/>
          <w:sz w:val="24"/>
        </w:rPr>
        <w:t>2014</w:t>
      </w:r>
      <w:r>
        <w:rPr>
          <w:rFonts w:hint="eastAsia" w:ascii="宋体" w:hAnsi="宋体"/>
          <w:sz w:val="24"/>
        </w:rPr>
        <w:t>年）</w:t>
      </w:r>
    </w:p>
    <w:p w14:paraId="13EABFD7">
      <w:pPr>
        <w:spacing w:line="360" w:lineRule="auto"/>
        <w:ind w:firstLine="480" w:firstLineChars="200"/>
        <w:rPr>
          <w:rFonts w:hAnsi="宋体"/>
          <w:sz w:val="24"/>
        </w:rPr>
      </w:pPr>
      <w:r>
        <w:rPr>
          <w:rFonts w:hint="eastAsia"/>
          <w:sz w:val="24"/>
          <w:lang w:val="en-US" w:eastAsia="zh-CN"/>
        </w:rPr>
        <w:t>6</w:t>
      </w:r>
      <w:r>
        <w:rPr>
          <w:rFonts w:hint="eastAsia"/>
          <w:sz w:val="24"/>
        </w:rPr>
        <w:t>、与该工程有关的图集和相关文件、规定</w:t>
      </w:r>
    </w:p>
    <w:p w14:paraId="14217FA2">
      <w:pPr>
        <w:pStyle w:val="2"/>
        <w:spacing w:line="360" w:lineRule="auto"/>
        <w:ind w:left="465"/>
        <w:rPr>
          <w:rFonts w:hAnsi="宋体"/>
          <w:b/>
          <w:bCs/>
          <w:sz w:val="24"/>
        </w:rPr>
      </w:pPr>
      <w:r>
        <w:rPr>
          <w:rFonts w:hint="eastAsia" w:hAnsi="宋体"/>
          <w:b/>
          <w:bCs/>
          <w:sz w:val="24"/>
        </w:rPr>
        <w:t>三、工程量清单编制说明：</w:t>
      </w:r>
    </w:p>
    <w:p w14:paraId="00AE7A4B">
      <w:pPr>
        <w:pStyle w:val="2"/>
        <w:numPr>
          <w:ilvl w:val="0"/>
          <w:numId w:val="1"/>
        </w:numPr>
        <w:spacing w:line="360" w:lineRule="auto"/>
        <w:ind w:left="315" w:leftChars="150"/>
        <w:rPr>
          <w:rFonts w:hAnsi="宋体"/>
          <w:sz w:val="24"/>
          <w:szCs w:val="24"/>
        </w:rPr>
      </w:pPr>
      <w:r>
        <w:rPr>
          <w:rFonts w:hint="eastAsia" w:hAnsi="宋体"/>
          <w:sz w:val="24"/>
          <w:szCs w:val="24"/>
          <w:lang w:val="zh-CN"/>
        </w:rPr>
        <w:t>根据图纸中的施工说明、工程的技术规范以及建筑工程计价清单规范的要</w:t>
      </w:r>
      <w:r>
        <w:rPr>
          <w:rFonts w:hint="eastAsia" w:hAnsi="宋体"/>
          <w:sz w:val="24"/>
          <w:szCs w:val="24"/>
        </w:rPr>
        <w:t xml:space="preserve">   </w:t>
      </w:r>
      <w:r>
        <w:rPr>
          <w:rFonts w:hint="eastAsia" w:hAnsi="宋体"/>
          <w:sz w:val="24"/>
          <w:szCs w:val="24"/>
          <w:lang w:val="zh-CN"/>
        </w:rPr>
        <w:t>求，编制工程量清单中的特征描述；</w:t>
      </w:r>
    </w:p>
    <w:p w14:paraId="5A7D2A13">
      <w:pPr>
        <w:pStyle w:val="2"/>
        <w:numPr>
          <w:ilvl w:val="0"/>
          <w:numId w:val="1"/>
        </w:numPr>
        <w:spacing w:line="360" w:lineRule="auto"/>
        <w:ind w:left="315" w:leftChars="150"/>
        <w:rPr>
          <w:rFonts w:ascii="宋体" w:hAnsi="宋体"/>
          <w:sz w:val="24"/>
          <w:szCs w:val="24"/>
        </w:rPr>
      </w:pPr>
      <w:r>
        <w:rPr>
          <w:rFonts w:hint="eastAsia" w:hAnsi="宋体"/>
          <w:sz w:val="24"/>
          <w:szCs w:val="24"/>
          <w:lang w:val="zh-CN"/>
        </w:rPr>
        <w:t>施工图纸如若与现场实际有差别或者变更，施工中根据实际工程量办理</w:t>
      </w:r>
      <w:r>
        <w:rPr>
          <w:rFonts w:hint="eastAsia" w:hAnsi="宋体"/>
          <w:sz w:val="24"/>
          <w:szCs w:val="24"/>
        </w:rPr>
        <w:t>工</w:t>
      </w:r>
      <w:r>
        <w:rPr>
          <w:rFonts w:hint="eastAsia" w:hAnsi="宋体"/>
          <w:sz w:val="24"/>
          <w:szCs w:val="24"/>
          <w:lang w:val="zh-CN"/>
        </w:rPr>
        <w:t>程签证</w:t>
      </w:r>
      <w:r>
        <w:rPr>
          <w:rFonts w:hint="eastAsia" w:hAnsi="宋体"/>
          <w:sz w:val="24"/>
          <w:szCs w:val="24"/>
        </w:rPr>
        <w:t>结</w:t>
      </w:r>
      <w:r>
        <w:rPr>
          <w:rFonts w:hint="eastAsia" w:hAnsi="宋体"/>
          <w:sz w:val="24"/>
          <w:szCs w:val="24"/>
          <w:lang w:val="zh-CN"/>
        </w:rPr>
        <w:t>算</w:t>
      </w:r>
      <w:r>
        <w:rPr>
          <w:rFonts w:hint="eastAsia" w:ascii="宋体" w:hAnsi="宋体"/>
          <w:sz w:val="24"/>
          <w:szCs w:val="24"/>
          <w:lang w:val="en-US" w:eastAsia="zh-CN"/>
        </w:rPr>
        <w:t>；</w:t>
      </w:r>
    </w:p>
    <w:p w14:paraId="1D9F2E1A">
      <w:pPr>
        <w:pStyle w:val="13"/>
        <w:numPr>
          <w:ilvl w:val="0"/>
          <w:numId w:val="1"/>
        </w:numPr>
        <w:spacing w:line="360" w:lineRule="auto"/>
        <w:ind w:left="315" w:leftChars="150" w:firstLineChars="0"/>
        <w:rPr>
          <w:rFonts w:ascii="宋体" w:hAnsi="宋体"/>
          <w:sz w:val="24"/>
          <w:szCs w:val="24"/>
        </w:rPr>
      </w:pPr>
      <w:r>
        <w:rPr>
          <w:rFonts w:hint="eastAsia" w:hAnsi="宋体"/>
          <w:sz w:val="24"/>
          <w:szCs w:val="24"/>
          <w:lang w:val="en-US" w:eastAsia="zh-CN"/>
        </w:rPr>
        <w:t>清单内恢复项目均采用主材利旧，如主材破损再次损失由承包单位自行承担，且不得影响实际回复后美观及使用要求；</w:t>
      </w:r>
    </w:p>
    <w:p w14:paraId="06B4271F">
      <w:pPr>
        <w:pStyle w:val="13"/>
        <w:numPr>
          <w:ilvl w:val="0"/>
          <w:numId w:val="1"/>
        </w:numPr>
        <w:spacing w:line="360" w:lineRule="auto"/>
        <w:ind w:left="315" w:leftChars="150" w:firstLineChars="0"/>
        <w:rPr>
          <w:rFonts w:ascii="宋体" w:hAnsi="宋体"/>
          <w:sz w:val="24"/>
          <w:szCs w:val="24"/>
        </w:rPr>
      </w:pPr>
      <w:r>
        <w:rPr>
          <w:rFonts w:hint="eastAsia" w:hAnsi="宋体"/>
          <w:sz w:val="24"/>
          <w:szCs w:val="24"/>
          <w:lang w:val="en-US" w:eastAsia="zh-CN"/>
        </w:rPr>
        <w:t>清单内不包含P2.5显示屏</w:t>
      </w:r>
    </w:p>
    <w:p w14:paraId="2E922F25">
      <w:pPr>
        <w:pStyle w:val="13"/>
        <w:numPr>
          <w:ilvl w:val="0"/>
          <w:numId w:val="1"/>
        </w:numPr>
        <w:spacing w:line="360" w:lineRule="auto"/>
        <w:ind w:left="315" w:leftChars="150" w:firstLineChars="0"/>
        <w:rPr>
          <w:rFonts w:ascii="宋体" w:hAnsi="宋体"/>
          <w:sz w:val="24"/>
          <w:szCs w:val="24"/>
        </w:rPr>
      </w:pPr>
      <w:r>
        <w:rPr>
          <w:rFonts w:hint="eastAsia" w:hAnsi="宋体"/>
          <w:sz w:val="24"/>
          <w:szCs w:val="24"/>
          <w:lang w:val="en-US" w:eastAsia="zh-CN"/>
        </w:rPr>
        <w:t>清单内具体做法详图纸的清单子目做法已图纸为准，投标单位投标时结合图纸及现场实际情况自行考虑，所报综合单价结算时固定、不予调整；</w:t>
      </w:r>
    </w:p>
    <w:p w14:paraId="22F7EA1C">
      <w:pPr>
        <w:pStyle w:val="13"/>
        <w:numPr>
          <w:ilvl w:val="0"/>
          <w:numId w:val="1"/>
        </w:numPr>
        <w:spacing w:line="360" w:lineRule="auto"/>
        <w:ind w:left="315" w:leftChars="150" w:firstLineChars="0"/>
        <w:rPr>
          <w:rFonts w:ascii="宋体" w:hAnsi="宋体"/>
          <w:sz w:val="24"/>
          <w:szCs w:val="24"/>
        </w:rPr>
      </w:pPr>
      <w:r>
        <w:rPr>
          <w:rFonts w:hint="eastAsia" w:hAnsi="宋体"/>
          <w:sz w:val="24"/>
          <w:szCs w:val="24"/>
          <w:lang w:val="en-US" w:eastAsia="zh-CN"/>
        </w:rPr>
        <w:t>C2教室装修图纸与电气图纸中的插座数量布置不一致，清单工程量暂按装修图纸计入；</w:t>
      </w:r>
    </w:p>
    <w:p w14:paraId="5B2D99ED">
      <w:pPr>
        <w:pStyle w:val="13"/>
        <w:numPr>
          <w:ilvl w:val="0"/>
          <w:numId w:val="1"/>
        </w:numPr>
        <w:spacing w:line="360" w:lineRule="auto"/>
        <w:ind w:left="315" w:leftChars="150" w:firstLineChars="0"/>
        <w:rPr>
          <w:rFonts w:ascii="宋体" w:hAnsi="宋体"/>
          <w:sz w:val="24"/>
          <w:szCs w:val="24"/>
        </w:rPr>
      </w:pPr>
      <w:r>
        <w:rPr>
          <w:rFonts w:hint="eastAsia" w:ascii="宋体" w:hAnsi="宋体"/>
          <w:sz w:val="24"/>
          <w:szCs w:val="24"/>
          <w:lang w:val="en-US" w:eastAsia="zh-CN"/>
        </w:rPr>
        <w:t>本次清单中配电箱仅考虑新增箱体，原有配电箱不计入，涉及原配电箱内元器件改造等费用，</w:t>
      </w:r>
      <w:r>
        <w:rPr>
          <w:rFonts w:hint="eastAsia" w:ascii="宋体" w:hAnsi="宋体" w:cs="宋体"/>
          <w:color w:val="000000" w:themeColor="text1"/>
          <w:kern w:val="0"/>
          <w:sz w:val="24"/>
          <w:szCs w:val="22"/>
          <w14:textFill>
            <w14:solidFill>
              <w14:schemeClr w14:val="tx1"/>
            </w14:solidFill>
          </w14:textFill>
        </w:rPr>
        <w:t>投标人依据现场情况自行考虑在报价中</w:t>
      </w:r>
      <w:r>
        <w:rPr>
          <w:rFonts w:hint="eastAsia" w:ascii="宋体" w:hAnsi="宋体" w:cs="宋体"/>
          <w:color w:val="000000" w:themeColor="text1"/>
          <w:kern w:val="0"/>
          <w:sz w:val="24"/>
          <w:szCs w:val="22"/>
          <w:lang w:eastAsia="zh-CN"/>
          <w14:textFill>
            <w14:solidFill>
              <w14:schemeClr w14:val="tx1"/>
            </w14:solidFill>
          </w14:textFill>
        </w:rPr>
        <w:t>；</w:t>
      </w:r>
    </w:p>
    <w:p w14:paraId="613ECBF4">
      <w:pPr>
        <w:pStyle w:val="13"/>
        <w:numPr>
          <w:ilvl w:val="0"/>
          <w:numId w:val="1"/>
        </w:numPr>
        <w:spacing w:line="360" w:lineRule="auto"/>
        <w:ind w:left="315" w:leftChars="150" w:firstLineChars="0"/>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因现场条件及图纸不明因素需要深化所发生的费用，请投标人依据现场情况自行考虑在报价中；</w:t>
      </w:r>
    </w:p>
    <w:p w14:paraId="6151E8BA">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工程量清单中每一分部分项工程综合单价均应包括人工费、材料费、机械费、管理费、利润以及现行取费中的有关费用、有关文件规定的调价以及根据本招标文件要求的风险金等全部费用；</w:t>
      </w:r>
    </w:p>
    <w:p w14:paraId="580E2050">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lang w:val="en-US" w:eastAsia="zh-CN"/>
        </w:rPr>
        <w:t>建筑垃圾外运</w:t>
      </w:r>
      <w:r>
        <w:rPr>
          <w:rFonts w:hint="eastAsia" w:ascii="宋体" w:hAnsi="Courier New"/>
          <w:sz w:val="24"/>
          <w:szCs w:val="22"/>
        </w:rPr>
        <w:t>项目包含</w:t>
      </w:r>
      <w:r>
        <w:rPr>
          <w:rFonts w:hint="eastAsia" w:ascii="宋体" w:hAnsi="Courier New"/>
          <w:sz w:val="24"/>
          <w:szCs w:val="22"/>
          <w:lang w:val="en-US" w:eastAsia="zh-CN"/>
        </w:rPr>
        <w:t>装包搬运下楼，装车、</w:t>
      </w:r>
      <w:r>
        <w:rPr>
          <w:rFonts w:hint="eastAsia" w:ascii="宋体" w:hAnsi="Courier New"/>
          <w:sz w:val="24"/>
          <w:szCs w:val="22"/>
        </w:rPr>
        <w:t>内转等全部相关费用；</w:t>
      </w:r>
    </w:p>
    <w:p w14:paraId="7F44EF97">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本项目所有与水有关的穿墙、穿板、打洞、开槽、穿梁、绕梁、套管、开孔、封堵、修补等一系列相关内容，请投标单位按规范，图纸要求自行考虑在单价中，施工中不另签证增加费用</w:t>
      </w:r>
      <w:r>
        <w:rPr>
          <w:rFonts w:hint="eastAsia" w:ascii="宋体" w:hAnsi="Courier New"/>
          <w:sz w:val="24"/>
          <w:szCs w:val="22"/>
          <w:lang w:eastAsia="zh-CN"/>
        </w:rPr>
        <w:t>；</w:t>
      </w:r>
    </w:p>
    <w:p w14:paraId="2BA0D124">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投标人在投标报价中需考虑材料洞口预留、修补，包括但不限于消防、燃气、新风、排气、空调等孔洞。墙地砖开孔、装饰项目收边收口嵌缝打玻璃胶、耐候胶的费用及垃圾清运费用等所有费用，施工中不另签证增加费用</w:t>
      </w:r>
      <w:r>
        <w:rPr>
          <w:rFonts w:hint="eastAsia" w:ascii="宋体" w:hAnsi="Courier New"/>
          <w:sz w:val="24"/>
          <w:szCs w:val="22"/>
          <w:lang w:eastAsia="zh-CN"/>
        </w:rPr>
        <w:t>；</w:t>
      </w:r>
    </w:p>
    <w:p w14:paraId="50F86F55">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综合单价及消耗量：各投标人在报价时应根据工程量清单并结合图纸中的有关大样和节点，依靠各自的施工经验自行测算材料和五金等相关配件，包括成品、半成品材料和配件的加工损耗、加工辅助材料费用、加工人工机械费用、采保费、运输费、包装费、上下力费等所有费用。中标后承包人在图纸深化设计时不得实质性改变招标图纸，但应负责对招标图中的缺陷进行必要的优化、深化和修正。对招标图缺陷的优化、深化和修正及审批确认、竣工图制作所导致的费用含在投标总价内，不另行计取费用</w:t>
      </w:r>
    </w:p>
    <w:p w14:paraId="438AE83E">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本工程全部按商品混凝土考虑，泵送与非泵送由投标人自行考虑。本工程所使用砂浆全部按预拌砂浆考虑，干拌与湿拌由投标人自行考虑；</w:t>
      </w:r>
    </w:p>
    <w:p w14:paraId="6C6985B0">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分部分项工程量清单中“项目特征”内容描述不详的，以招标图纸和清单计价规范为准；</w:t>
      </w:r>
    </w:p>
    <w:p w14:paraId="1F4993F0">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图纸要求及相关技术标准范围内的要求请考虑在投标报价中；</w:t>
      </w:r>
    </w:p>
    <w:p w14:paraId="43A7B6A4">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措施项目除清单给定的内容外，投标人应根据工程所在地的</w:t>
      </w:r>
      <w:r>
        <w:rPr>
          <w:rFonts w:hint="eastAsia" w:ascii="宋体" w:hAnsi="Courier New"/>
          <w:sz w:val="24"/>
          <w:szCs w:val="22"/>
          <w:lang w:val="en-US" w:eastAsia="zh-CN"/>
        </w:rPr>
        <w:t>环境、</w:t>
      </w:r>
      <w:r>
        <w:rPr>
          <w:rFonts w:hint="eastAsia" w:ascii="宋体" w:hAnsi="Courier New"/>
          <w:sz w:val="24"/>
          <w:szCs w:val="22"/>
        </w:rPr>
        <w:t>地质、交通等现场情况，自行充分考虑并报价，如有漏报，视作投标人让利，结算时不再调整；</w:t>
      </w:r>
    </w:p>
    <w:p w14:paraId="2252C9CB">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 xml:space="preserve">投标人需现场实地踏勘，充分了解施工环境及其他足以影响报价及工期的因素以及采取的必要措施项目，投标人自行考虑并进入投标报价；               </w:t>
      </w:r>
    </w:p>
    <w:p w14:paraId="703CD8E3">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 xml:space="preserve">相关检测费用请投标单位自行考虑在报价中； </w:t>
      </w:r>
    </w:p>
    <w:p w14:paraId="3997C76F">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未尽项目内容投标单位自行考虑，报价中视如包含未尽项目；</w:t>
      </w:r>
    </w:p>
    <w:p w14:paraId="74209AB1">
      <w:pPr>
        <w:pStyle w:val="13"/>
        <w:numPr>
          <w:ilvl w:val="0"/>
          <w:numId w:val="1"/>
        </w:numPr>
        <w:spacing w:line="360" w:lineRule="auto"/>
        <w:ind w:left="315" w:leftChars="150" w:firstLineChars="0"/>
        <w:rPr>
          <w:rFonts w:ascii="宋体" w:hAnsi="Courier New"/>
          <w:sz w:val="24"/>
          <w:szCs w:val="22"/>
        </w:rPr>
      </w:pPr>
      <w:r>
        <w:rPr>
          <w:rFonts w:hint="eastAsia" w:ascii="宋体" w:hAnsi="Courier New"/>
          <w:sz w:val="24"/>
          <w:szCs w:val="22"/>
        </w:rPr>
        <w:t>除非合同另有规定，工程量清单中细目的单价理解为包括完成工程所需的人工费、材料费、机械使用费、管理费、利润等费用，以及合同明示或暗示的所有责任、义务和一般风险；</w:t>
      </w:r>
    </w:p>
    <w:p w14:paraId="3E0EECF1">
      <w:pPr>
        <w:spacing w:line="360" w:lineRule="auto"/>
        <w:ind w:firstLine="602" w:firstLineChars="250"/>
        <w:rPr>
          <w:rFonts w:ascii="宋体" w:hAnsi="宋体"/>
          <w:b/>
          <w:sz w:val="24"/>
        </w:rPr>
      </w:pPr>
      <w:r>
        <w:rPr>
          <w:rFonts w:hint="eastAsia" w:ascii="宋体" w:hAnsi="宋体"/>
          <w:b/>
          <w:sz w:val="24"/>
        </w:rPr>
        <w:t>四、其它说明：</w:t>
      </w:r>
    </w:p>
    <w:p w14:paraId="11AFA8DF">
      <w:pPr>
        <w:keepNext w:val="0"/>
        <w:keepLines w:val="0"/>
        <w:pageBreakBefore w:val="0"/>
        <w:widowControl/>
        <w:kinsoku/>
        <w:wordWrap/>
        <w:overflowPunct/>
        <w:topLinePunct w:val="0"/>
        <w:autoSpaceDE/>
        <w:autoSpaceDN/>
        <w:bidi w:val="0"/>
        <w:adjustRightInd/>
        <w:snapToGrid/>
        <w:spacing w:line="460" w:lineRule="exact"/>
        <w:ind w:left="315" w:leftChars="150" w:firstLine="420"/>
        <w:textAlignment w:val="auto"/>
        <w:rPr>
          <w:rFonts w:hint="eastAsia"/>
          <w:color w:val="000000" w:themeColor="text1"/>
          <w:sz w:val="24"/>
          <w:lang w:val="en-US" w:eastAsia="zh-CN"/>
          <w14:textFill>
            <w14:solidFill>
              <w14:schemeClr w14:val="tx1"/>
            </w14:solidFill>
          </w14:textFill>
        </w:rPr>
      </w:pPr>
      <w:r>
        <w:rPr>
          <w:rFonts w:hint="eastAsia"/>
          <w:color w:val="000000" w:themeColor="text1"/>
          <w:sz w:val="24"/>
          <w14:textFill>
            <w14:solidFill>
              <w14:schemeClr w14:val="tx1"/>
            </w14:solidFill>
          </w14:textFill>
        </w:rPr>
        <w:t>1、本工程</w:t>
      </w:r>
      <w:r>
        <w:rPr>
          <w:rFonts w:hint="eastAsia"/>
          <w:color w:val="000000" w:themeColor="text1"/>
          <w:sz w:val="24"/>
          <w:lang w:val="en-US" w:eastAsia="zh-CN"/>
          <w14:textFill>
            <w14:solidFill>
              <w14:schemeClr w14:val="tx1"/>
            </w14:solidFill>
          </w14:textFill>
        </w:rPr>
        <w:t>清单内以“项”为单位计入子目</w:t>
      </w:r>
      <w:r>
        <w:rPr>
          <w:rFonts w:hint="eastAsia"/>
          <w:color w:val="000000" w:themeColor="text1"/>
          <w:sz w:val="24"/>
          <w14:textFill>
            <w14:solidFill>
              <w14:schemeClr w14:val="tx1"/>
            </w14:solidFill>
          </w14:textFill>
        </w:rPr>
        <w:t>，投标人需现场勘察后根据实际情况测算报价，本项目费用实行一次包干使用</w:t>
      </w:r>
      <w:r>
        <w:rPr>
          <w:rFonts w:hint="eastAsia"/>
          <w:color w:val="000000" w:themeColor="text1"/>
          <w:sz w:val="24"/>
          <w:lang w:val="en-US" w:eastAsia="zh-CN"/>
          <w14:textFill>
            <w14:solidFill>
              <w14:schemeClr w14:val="tx1"/>
            </w14:solidFill>
          </w14:textFill>
        </w:rPr>
        <w:t>结算不予调整；</w:t>
      </w:r>
    </w:p>
    <w:p w14:paraId="7849CD93">
      <w:pPr>
        <w:keepNext w:val="0"/>
        <w:keepLines w:val="0"/>
        <w:pageBreakBefore w:val="0"/>
        <w:widowControl/>
        <w:kinsoku/>
        <w:wordWrap/>
        <w:overflowPunct/>
        <w:topLinePunct w:val="0"/>
        <w:autoSpaceDE/>
        <w:autoSpaceDN/>
        <w:bidi w:val="0"/>
        <w:adjustRightInd/>
        <w:snapToGrid/>
        <w:spacing w:line="460" w:lineRule="exact"/>
        <w:ind w:left="315" w:leftChars="150" w:firstLine="420"/>
        <w:textAlignment w:val="auto"/>
        <w:rPr>
          <w:rFonts w:hint="eastAsia"/>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2、对于项目特征实质上一致的两条或两条以上分部分项清单项目，投标人所报综合单价应一致，对于综合单价不一致的清单项目，结算时将按照价格最低的执行，投标人需在报价时综合考虑；</w:t>
      </w:r>
    </w:p>
    <w:p w14:paraId="3E8483A9">
      <w:pPr>
        <w:keepNext w:val="0"/>
        <w:keepLines w:val="0"/>
        <w:pageBreakBefore w:val="0"/>
        <w:widowControl/>
        <w:kinsoku/>
        <w:wordWrap/>
        <w:overflowPunct/>
        <w:topLinePunct w:val="0"/>
        <w:autoSpaceDE/>
        <w:autoSpaceDN/>
        <w:bidi w:val="0"/>
        <w:adjustRightInd/>
        <w:snapToGrid/>
        <w:spacing w:line="460" w:lineRule="exact"/>
        <w:ind w:left="315" w:leftChars="150" w:firstLine="420"/>
        <w:textAlignment w:val="auto"/>
        <w:rPr>
          <w:rFonts w:hint="default"/>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3、请投标人谨慎运用不平衡报价，招标文件合同中有关于变更价款调整规定，请仔细阅读理解，投标人的报价默认认可了合同中有关价格调整的约定，后期不得以任何理由拒绝按合同执行</w:t>
      </w:r>
    </w:p>
    <w:p w14:paraId="02404E23">
      <w:pPr>
        <w:widowControl/>
        <w:spacing w:line="460" w:lineRule="exact"/>
        <w:rPr>
          <w:color w:val="000000" w:themeColor="text1"/>
          <w:sz w:val="24"/>
          <w14:textFill>
            <w14:solidFill>
              <w14:schemeClr w14:val="tx1"/>
            </w14:solidFill>
          </w14:textFill>
        </w:rPr>
      </w:pPr>
    </w:p>
    <w:sectPr>
      <w:pgSz w:w="11906" w:h="16838"/>
      <w:pgMar w:top="1440" w:right="1558"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425224"/>
    <w:multiLevelType w:val="multilevel"/>
    <w:tmpl w:val="4842522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iNjQxNzNjMGVjYTNjNGQ1OWNkODljN2NmODI1YjMifQ=="/>
  </w:docVars>
  <w:rsids>
    <w:rsidRoot w:val="00F21B86"/>
    <w:rsid w:val="0000232A"/>
    <w:rsid w:val="00030D3A"/>
    <w:rsid w:val="000336CE"/>
    <w:rsid w:val="00042336"/>
    <w:rsid w:val="00042FF1"/>
    <w:rsid w:val="00054DFB"/>
    <w:rsid w:val="00064395"/>
    <w:rsid w:val="00076458"/>
    <w:rsid w:val="000B6961"/>
    <w:rsid w:val="000C0DFC"/>
    <w:rsid w:val="000D2C1D"/>
    <w:rsid w:val="000D38F2"/>
    <w:rsid w:val="000E73B7"/>
    <w:rsid w:val="001000F0"/>
    <w:rsid w:val="00122DBA"/>
    <w:rsid w:val="0013482A"/>
    <w:rsid w:val="00146D6C"/>
    <w:rsid w:val="001512AC"/>
    <w:rsid w:val="001559FC"/>
    <w:rsid w:val="0016411A"/>
    <w:rsid w:val="001723B4"/>
    <w:rsid w:val="00184A7B"/>
    <w:rsid w:val="00186E0B"/>
    <w:rsid w:val="00192FC6"/>
    <w:rsid w:val="001A5178"/>
    <w:rsid w:val="001A6576"/>
    <w:rsid w:val="001B1A66"/>
    <w:rsid w:val="001B5B2C"/>
    <w:rsid w:val="001C2CC4"/>
    <w:rsid w:val="001F6284"/>
    <w:rsid w:val="00217651"/>
    <w:rsid w:val="00231F02"/>
    <w:rsid w:val="00246F5D"/>
    <w:rsid w:val="002833B5"/>
    <w:rsid w:val="00286581"/>
    <w:rsid w:val="002930A0"/>
    <w:rsid w:val="00297C3B"/>
    <w:rsid w:val="002A3362"/>
    <w:rsid w:val="002A4E89"/>
    <w:rsid w:val="002A5F2E"/>
    <w:rsid w:val="002B0550"/>
    <w:rsid w:val="002B71D4"/>
    <w:rsid w:val="002C5E84"/>
    <w:rsid w:val="003024D6"/>
    <w:rsid w:val="00312C7A"/>
    <w:rsid w:val="00333266"/>
    <w:rsid w:val="00343A2D"/>
    <w:rsid w:val="00350146"/>
    <w:rsid w:val="00357533"/>
    <w:rsid w:val="003A2911"/>
    <w:rsid w:val="003B3184"/>
    <w:rsid w:val="003B5322"/>
    <w:rsid w:val="003D0F8D"/>
    <w:rsid w:val="003F1DD5"/>
    <w:rsid w:val="004169D3"/>
    <w:rsid w:val="0043042F"/>
    <w:rsid w:val="00442397"/>
    <w:rsid w:val="00445FFB"/>
    <w:rsid w:val="00475F28"/>
    <w:rsid w:val="00481BD5"/>
    <w:rsid w:val="004870E6"/>
    <w:rsid w:val="00487640"/>
    <w:rsid w:val="00491E2D"/>
    <w:rsid w:val="004B58EF"/>
    <w:rsid w:val="004D69B0"/>
    <w:rsid w:val="004E53DB"/>
    <w:rsid w:val="004F464E"/>
    <w:rsid w:val="005105C1"/>
    <w:rsid w:val="00511D88"/>
    <w:rsid w:val="00513E03"/>
    <w:rsid w:val="00517EC5"/>
    <w:rsid w:val="0056457B"/>
    <w:rsid w:val="005757B3"/>
    <w:rsid w:val="00596D94"/>
    <w:rsid w:val="005B3716"/>
    <w:rsid w:val="005D403B"/>
    <w:rsid w:val="005E5C22"/>
    <w:rsid w:val="00607154"/>
    <w:rsid w:val="00610E0A"/>
    <w:rsid w:val="00614441"/>
    <w:rsid w:val="00624230"/>
    <w:rsid w:val="00640EA4"/>
    <w:rsid w:val="006419B3"/>
    <w:rsid w:val="0066388D"/>
    <w:rsid w:val="00677517"/>
    <w:rsid w:val="00682714"/>
    <w:rsid w:val="006A7ECF"/>
    <w:rsid w:val="006E6CAA"/>
    <w:rsid w:val="007208E1"/>
    <w:rsid w:val="007234F1"/>
    <w:rsid w:val="007255A3"/>
    <w:rsid w:val="00737FC7"/>
    <w:rsid w:val="00772D16"/>
    <w:rsid w:val="007836A1"/>
    <w:rsid w:val="00785925"/>
    <w:rsid w:val="007A7320"/>
    <w:rsid w:val="007B3C14"/>
    <w:rsid w:val="007D5251"/>
    <w:rsid w:val="00810A6B"/>
    <w:rsid w:val="00813B75"/>
    <w:rsid w:val="008434BF"/>
    <w:rsid w:val="00843F6C"/>
    <w:rsid w:val="008840B5"/>
    <w:rsid w:val="008976DA"/>
    <w:rsid w:val="008B073B"/>
    <w:rsid w:val="008B2136"/>
    <w:rsid w:val="008E23B8"/>
    <w:rsid w:val="008F1DF3"/>
    <w:rsid w:val="009143AF"/>
    <w:rsid w:val="00920073"/>
    <w:rsid w:val="00923804"/>
    <w:rsid w:val="00955478"/>
    <w:rsid w:val="0095577F"/>
    <w:rsid w:val="0097000D"/>
    <w:rsid w:val="0097109E"/>
    <w:rsid w:val="009875C7"/>
    <w:rsid w:val="00992D08"/>
    <w:rsid w:val="009948CC"/>
    <w:rsid w:val="009B56B8"/>
    <w:rsid w:val="009C3CE2"/>
    <w:rsid w:val="009E4FAD"/>
    <w:rsid w:val="009E63D5"/>
    <w:rsid w:val="009F3270"/>
    <w:rsid w:val="00A178EE"/>
    <w:rsid w:val="00A26AEC"/>
    <w:rsid w:val="00A30943"/>
    <w:rsid w:val="00A30B8C"/>
    <w:rsid w:val="00A32536"/>
    <w:rsid w:val="00A75350"/>
    <w:rsid w:val="00A75503"/>
    <w:rsid w:val="00A8536D"/>
    <w:rsid w:val="00AE04DB"/>
    <w:rsid w:val="00AE7439"/>
    <w:rsid w:val="00AF0AB5"/>
    <w:rsid w:val="00B27A06"/>
    <w:rsid w:val="00B32274"/>
    <w:rsid w:val="00B32E7A"/>
    <w:rsid w:val="00B61179"/>
    <w:rsid w:val="00B70986"/>
    <w:rsid w:val="00B83A1A"/>
    <w:rsid w:val="00B944EF"/>
    <w:rsid w:val="00BA2176"/>
    <w:rsid w:val="00BC74F5"/>
    <w:rsid w:val="00BE4F22"/>
    <w:rsid w:val="00BF0096"/>
    <w:rsid w:val="00C00E47"/>
    <w:rsid w:val="00C11AF0"/>
    <w:rsid w:val="00C15BB4"/>
    <w:rsid w:val="00C217A3"/>
    <w:rsid w:val="00C30F10"/>
    <w:rsid w:val="00C537BB"/>
    <w:rsid w:val="00CC0FAE"/>
    <w:rsid w:val="00CD2B7C"/>
    <w:rsid w:val="00CE68DB"/>
    <w:rsid w:val="00CF3912"/>
    <w:rsid w:val="00D0214C"/>
    <w:rsid w:val="00D05BBC"/>
    <w:rsid w:val="00D067E1"/>
    <w:rsid w:val="00D26F2A"/>
    <w:rsid w:val="00D3164A"/>
    <w:rsid w:val="00D46CA3"/>
    <w:rsid w:val="00D53054"/>
    <w:rsid w:val="00D82087"/>
    <w:rsid w:val="00D85426"/>
    <w:rsid w:val="00D8696E"/>
    <w:rsid w:val="00D96B0A"/>
    <w:rsid w:val="00D96B1B"/>
    <w:rsid w:val="00DA1F6D"/>
    <w:rsid w:val="00DA6188"/>
    <w:rsid w:val="00DC75ED"/>
    <w:rsid w:val="00DD2396"/>
    <w:rsid w:val="00E00289"/>
    <w:rsid w:val="00E46253"/>
    <w:rsid w:val="00E52258"/>
    <w:rsid w:val="00E53CBB"/>
    <w:rsid w:val="00E577FF"/>
    <w:rsid w:val="00E62A1D"/>
    <w:rsid w:val="00E64096"/>
    <w:rsid w:val="00E762FA"/>
    <w:rsid w:val="00EA5C53"/>
    <w:rsid w:val="00EB09E6"/>
    <w:rsid w:val="00ED0E15"/>
    <w:rsid w:val="00EE2051"/>
    <w:rsid w:val="00EE4D6F"/>
    <w:rsid w:val="00EE646E"/>
    <w:rsid w:val="00EF1FB8"/>
    <w:rsid w:val="00EF4104"/>
    <w:rsid w:val="00EF4D68"/>
    <w:rsid w:val="00F007DB"/>
    <w:rsid w:val="00F05205"/>
    <w:rsid w:val="00F21B86"/>
    <w:rsid w:val="00F3318D"/>
    <w:rsid w:val="00F479B3"/>
    <w:rsid w:val="00F52048"/>
    <w:rsid w:val="00F54158"/>
    <w:rsid w:val="00F56293"/>
    <w:rsid w:val="00F74183"/>
    <w:rsid w:val="00F83034"/>
    <w:rsid w:val="00F850F6"/>
    <w:rsid w:val="00F93040"/>
    <w:rsid w:val="00FB0ED5"/>
    <w:rsid w:val="00FB14F6"/>
    <w:rsid w:val="00FC5112"/>
    <w:rsid w:val="00FF1684"/>
    <w:rsid w:val="00FF64F1"/>
    <w:rsid w:val="00FF744E"/>
    <w:rsid w:val="01F0403A"/>
    <w:rsid w:val="03A76667"/>
    <w:rsid w:val="04D0141D"/>
    <w:rsid w:val="06D84B6B"/>
    <w:rsid w:val="073B7D7C"/>
    <w:rsid w:val="093A3733"/>
    <w:rsid w:val="0C377E91"/>
    <w:rsid w:val="0DEC5573"/>
    <w:rsid w:val="12E54A8E"/>
    <w:rsid w:val="137D351B"/>
    <w:rsid w:val="148235B5"/>
    <w:rsid w:val="15C30BA8"/>
    <w:rsid w:val="15DE21ED"/>
    <w:rsid w:val="168D606F"/>
    <w:rsid w:val="1811250D"/>
    <w:rsid w:val="189005F7"/>
    <w:rsid w:val="18F507D1"/>
    <w:rsid w:val="191430AF"/>
    <w:rsid w:val="19432E88"/>
    <w:rsid w:val="1A8039D7"/>
    <w:rsid w:val="1B381472"/>
    <w:rsid w:val="1C197E29"/>
    <w:rsid w:val="1DC44B41"/>
    <w:rsid w:val="1EE61FBA"/>
    <w:rsid w:val="1EFB5963"/>
    <w:rsid w:val="20AA5277"/>
    <w:rsid w:val="24195D24"/>
    <w:rsid w:val="25E6100D"/>
    <w:rsid w:val="282E547B"/>
    <w:rsid w:val="2D7D4AC0"/>
    <w:rsid w:val="30D9773B"/>
    <w:rsid w:val="37351473"/>
    <w:rsid w:val="37AB058D"/>
    <w:rsid w:val="3E9B4F3D"/>
    <w:rsid w:val="3EAA642D"/>
    <w:rsid w:val="40B240BA"/>
    <w:rsid w:val="41EA3317"/>
    <w:rsid w:val="434B0B46"/>
    <w:rsid w:val="43AD5855"/>
    <w:rsid w:val="49287348"/>
    <w:rsid w:val="4C23699B"/>
    <w:rsid w:val="4EF9611F"/>
    <w:rsid w:val="50005417"/>
    <w:rsid w:val="51200A2D"/>
    <w:rsid w:val="513C2C96"/>
    <w:rsid w:val="55A10B0C"/>
    <w:rsid w:val="56A958FA"/>
    <w:rsid w:val="56C715E4"/>
    <w:rsid w:val="57054399"/>
    <w:rsid w:val="57B16CF8"/>
    <w:rsid w:val="57D72D8F"/>
    <w:rsid w:val="589A16F3"/>
    <w:rsid w:val="59AE07A3"/>
    <w:rsid w:val="59C06EB7"/>
    <w:rsid w:val="5A2C5D1F"/>
    <w:rsid w:val="5A3B69FA"/>
    <w:rsid w:val="5B872136"/>
    <w:rsid w:val="613B5E97"/>
    <w:rsid w:val="67BA45AA"/>
    <w:rsid w:val="67F325A0"/>
    <w:rsid w:val="686C2F11"/>
    <w:rsid w:val="6BA105C1"/>
    <w:rsid w:val="6CFB60C0"/>
    <w:rsid w:val="6F0B43EF"/>
    <w:rsid w:val="6F267BEC"/>
    <w:rsid w:val="7102089F"/>
    <w:rsid w:val="74336829"/>
    <w:rsid w:val="76EE38D5"/>
    <w:rsid w:val="780E382E"/>
    <w:rsid w:val="79FF492B"/>
    <w:rsid w:val="7C4D6C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basedOn w:val="7"/>
    <w:qFormat/>
    <w:locked/>
    <w:uiPriority w:val="20"/>
    <w:rPr>
      <w:i/>
      <w:iCs/>
    </w:rPr>
  </w:style>
  <w:style w:type="character" w:customStyle="1" w:styleId="9">
    <w:name w:val="纯文本 Char"/>
    <w:basedOn w:val="7"/>
    <w:link w:val="2"/>
    <w:qFormat/>
    <w:locked/>
    <w:uiPriority w:val="99"/>
    <w:rPr>
      <w:rFonts w:ascii="宋体" w:hAnsi="Courier New" w:eastAsia="宋体" w:cs="Times New Roman"/>
      <w:sz w:val="20"/>
      <w:szCs w:val="20"/>
    </w:rPr>
  </w:style>
  <w:style w:type="character" w:customStyle="1" w:styleId="10">
    <w:name w:val="页脚 Char"/>
    <w:basedOn w:val="7"/>
    <w:link w:val="3"/>
    <w:semiHidden/>
    <w:qFormat/>
    <w:locked/>
    <w:uiPriority w:val="99"/>
    <w:rPr>
      <w:rFonts w:ascii="Times New Roman" w:hAnsi="Times New Roman" w:eastAsia="宋体" w:cs="Times New Roman"/>
      <w:sz w:val="18"/>
      <w:szCs w:val="18"/>
    </w:rPr>
  </w:style>
  <w:style w:type="character" w:customStyle="1" w:styleId="11">
    <w:name w:val="页眉 Char"/>
    <w:basedOn w:val="7"/>
    <w:link w:val="4"/>
    <w:qFormat/>
    <w:locked/>
    <w:uiPriority w:val="99"/>
    <w:rPr>
      <w:rFonts w:ascii="Times New Roman" w:hAnsi="Times New Roman" w:eastAsia="宋体" w:cs="Times New Roman"/>
      <w:sz w:val="18"/>
      <w:szCs w:val="18"/>
    </w:rPr>
  </w:style>
  <w:style w:type="paragraph" w:customStyle="1" w:styleId="12">
    <w:name w:val="列出段落1"/>
    <w:basedOn w:val="1"/>
    <w:qFormat/>
    <w:uiPriority w:val="99"/>
    <w:pPr>
      <w:ind w:firstLine="420" w:firstLineChars="200"/>
    </w:p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Company>
  <Pages>3</Pages>
  <Words>1735</Words>
  <Characters>1765</Characters>
  <Lines>10</Lines>
  <Paragraphs>2</Paragraphs>
  <TotalTime>13</TotalTime>
  <ScaleCrop>false</ScaleCrop>
  <LinksUpToDate>false</LinksUpToDate>
  <CharactersWithSpaces>1784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2019-06-26T07:32:00Z</dcterms:created>
  <dc:creator>name</dc:creator>
  <cp:lastModifiedBy>coraldust</cp:lastModifiedBy>
  <cp:lastPrinted>2019-05-30T09:31:00Z</cp:lastPrinted>
  <dcterms:modified xsi:type="dcterms:W3CDTF">2026-04-16T07:09:46Z</dcterms:modified>
  <dc:title>南京市第十三中学西校区食堂改造清单编制说明</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6F0B10DB2AD74379BDE1B503463289BB</vt:lpwstr>
  </property>
  <property fmtid="{D5CDD505-2E9C-101B-9397-08002B2CF9AE}" pid="4" name="KSOTemplateDocerSaveRecord">
    <vt:lpwstr>eyJoZGlkIjoiZjJiNjQxNzNjMGVjYTNjNGQ1OWNkODljN2NmODI1YjMiLCJ1c2VySWQiOiIxMjMyMDY4MDM4In0=</vt:lpwstr>
  </property>
</Properties>
</file>