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center" w:pos="4476"/>
          <w:tab w:val="right" w:pos="8953"/>
        </w:tabs>
        <w:ind w:firstLine="0"/>
        <w:rPr>
          <w:rFonts w:hint="default" w:ascii="Times New Roman" w:hAnsi="Times New Roman" w:cs="Times New Roman" w:eastAsiaTheme="minorEastAsia"/>
          <w:b/>
          <w:bCs/>
          <w:color w:val="auto"/>
          <w:sz w:val="84"/>
        </w:rPr>
      </w:pPr>
      <w:bookmarkStart w:id="0" w:name="_Toc455914596"/>
      <w:bookmarkStart w:id="1" w:name="_Toc115756014"/>
      <w:bookmarkStart w:id="2" w:name="_Toc142209795"/>
      <w:r>
        <w:rPr>
          <w:rFonts w:hint="default" w:ascii="Times New Roman" w:hAnsi="Times New Roman" w:cs="Times New Roman" w:eastAsiaTheme="minorEastAsia"/>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hint="default" w:ascii="Times New Roman" w:hAnsi="Times New Roman" w:cs="Times New Roman" w:eastAsiaTheme="minorEastAsia"/>
          <w:b/>
          <w:bCs/>
          <w:color w:val="auto"/>
          <w:sz w:val="84"/>
        </w:rPr>
      </w:pPr>
    </w:p>
    <w:p>
      <w:pPr>
        <w:pStyle w:val="80"/>
        <w:tabs>
          <w:tab w:val="center" w:pos="4476"/>
          <w:tab w:val="right" w:pos="8953"/>
        </w:tabs>
        <w:ind w:firstLine="1687" w:firstLineChars="200"/>
        <w:rPr>
          <w:rFonts w:hint="default" w:ascii="Times New Roman" w:hAnsi="Times New Roman" w:cs="Times New Roman" w:eastAsiaTheme="minorEastAsia"/>
          <w:b/>
          <w:bCs/>
          <w:color w:val="auto"/>
          <w:sz w:val="84"/>
        </w:rPr>
      </w:pPr>
    </w:p>
    <w:p>
      <w:pPr>
        <w:pStyle w:val="80"/>
        <w:tabs>
          <w:tab w:val="center" w:pos="4476"/>
          <w:tab w:val="right" w:pos="8953"/>
        </w:tabs>
        <w:ind w:firstLine="641" w:firstLineChars="76"/>
        <w:jc w:val="center"/>
        <w:rPr>
          <w:rFonts w:hint="eastAsia" w:ascii="黑体" w:hAnsi="黑体" w:eastAsia="黑体" w:cs="黑体"/>
          <w:b/>
          <w:bCs/>
          <w:color w:val="auto"/>
          <w:sz w:val="84"/>
        </w:rPr>
      </w:pPr>
      <w:r>
        <w:rPr>
          <w:rFonts w:hint="eastAsia" w:ascii="黑体" w:hAnsi="黑体" w:eastAsia="黑体" w:cs="黑体"/>
          <w:b/>
          <w:bCs/>
          <w:color w:val="auto"/>
          <w:sz w:val="84"/>
        </w:rPr>
        <w:t>招　标　文　件</w:t>
      </w:r>
    </w:p>
    <w:p>
      <w:pPr>
        <w:pStyle w:val="80"/>
        <w:ind w:firstLine="723" w:firstLineChars="200"/>
        <w:rPr>
          <w:rFonts w:hint="default" w:ascii="Times New Roman" w:hAnsi="Times New Roman" w:cs="Times New Roman" w:eastAsiaTheme="minorEastAsia"/>
          <w:b/>
          <w:bCs/>
          <w:color w:val="auto"/>
          <w:sz w:val="36"/>
          <w:szCs w:val="36"/>
        </w:rPr>
      </w:pPr>
    </w:p>
    <w:p>
      <w:pPr>
        <w:widowControl/>
        <w:shd w:val="clear" w:color="auto" w:fill="FFFFFF"/>
        <w:spacing w:line="400" w:lineRule="atLeast"/>
        <w:rPr>
          <w:rFonts w:hint="default" w:ascii="Times New Roman" w:hAnsi="Times New Roman" w:cs="Times New Roman" w:eastAsiaTheme="minorEastAsia"/>
          <w:b/>
          <w:color w:val="auto"/>
          <w:sz w:val="36"/>
        </w:rPr>
      </w:pPr>
    </w:p>
    <w:p>
      <w:pPr>
        <w:spacing w:line="360" w:lineRule="auto"/>
        <w:ind w:firstLine="2168" w:firstLineChars="600"/>
        <w:jc w:val="left"/>
        <w:rPr>
          <w:rFonts w:hint="default" w:ascii="Times New Roman" w:hAnsi="Times New Roman" w:cs="Times New Roman" w:eastAsiaTheme="minorEastAsia"/>
          <w:b/>
          <w:color w:val="auto"/>
          <w:sz w:val="36"/>
          <w:lang w:val="en-US" w:eastAsia="zh-CN"/>
        </w:rPr>
      </w:pPr>
      <w:r>
        <w:rPr>
          <w:rFonts w:hint="default" w:ascii="Times New Roman" w:hAnsi="Times New Roman" w:cs="Times New Roman" w:eastAsiaTheme="minorEastAsia"/>
          <w:b/>
          <w:color w:val="auto"/>
          <w:sz w:val="36"/>
        </w:rPr>
        <w:t>项目名称：</w:t>
      </w:r>
      <w:r>
        <w:rPr>
          <w:rFonts w:hint="default" w:ascii="Times New Roman" w:hAnsi="Times New Roman" w:cs="Times New Roman" w:eastAsiaTheme="minorEastAsia"/>
          <w:b/>
          <w:color w:val="auto"/>
          <w:sz w:val="36"/>
          <w:u w:val="single"/>
          <w:lang w:val="en-US" w:eastAsia="zh-CN"/>
        </w:rPr>
        <w:t>开放式课程平台开发运维</w:t>
      </w:r>
    </w:p>
    <w:p>
      <w:pPr>
        <w:spacing w:line="360" w:lineRule="auto"/>
        <w:ind w:firstLine="2168" w:firstLineChars="600"/>
        <w:jc w:val="left"/>
        <w:rPr>
          <w:rFonts w:hint="default" w:ascii="Times New Roman" w:hAnsi="Times New Roman" w:cs="Times New Roman" w:eastAsiaTheme="minorEastAsia"/>
          <w:color w:val="auto"/>
        </w:rPr>
      </w:pPr>
      <w:r>
        <w:rPr>
          <w:rFonts w:hint="default" w:ascii="Times New Roman" w:hAnsi="Times New Roman" w:cs="Times New Roman" w:eastAsiaTheme="minorEastAsia"/>
          <w:b/>
          <w:color w:val="auto"/>
          <w:sz w:val="36"/>
        </w:rPr>
        <w:t>项目编号：</w:t>
      </w:r>
      <w:r>
        <w:rPr>
          <w:rFonts w:hint="default" w:ascii="Times New Roman" w:hAnsi="Times New Roman" w:cs="Times New Roman" w:eastAsiaTheme="minorEastAsia"/>
          <w:b/>
          <w:color w:val="auto"/>
          <w:sz w:val="36"/>
          <w:u w:val="single"/>
        </w:rPr>
        <w:t xml:space="preserve">    </w:t>
      </w:r>
      <w:r>
        <w:rPr>
          <w:rFonts w:hint="default" w:ascii="Times New Roman" w:hAnsi="Times New Roman" w:cs="Times New Roman" w:eastAsiaTheme="minorEastAsia"/>
          <w:b/>
          <w:color w:val="auto"/>
          <w:sz w:val="36"/>
          <w:u w:val="single"/>
          <w:lang w:val="en-US" w:eastAsia="zh-CN"/>
        </w:rPr>
        <w:t>2019-ZB-XC059</w:t>
      </w:r>
      <w:r>
        <w:rPr>
          <w:rFonts w:hint="default" w:ascii="Times New Roman" w:hAnsi="Times New Roman" w:cs="Times New Roman" w:eastAsiaTheme="minorEastAsia"/>
          <w:b/>
          <w:color w:val="auto"/>
          <w:sz w:val="36"/>
          <w:u w:val="single"/>
        </w:rPr>
        <w:t xml:space="preserve"> </w:t>
      </w:r>
      <w:r>
        <w:rPr>
          <w:rFonts w:hint="default" w:ascii="Times New Roman" w:hAnsi="Times New Roman" w:cs="Times New Roman" w:eastAsiaTheme="minorEastAsia"/>
          <w:b/>
          <w:color w:val="auto"/>
          <w:sz w:val="36"/>
          <w:u w:val="single"/>
          <w:lang w:val="en-US" w:eastAsia="zh-CN"/>
        </w:rPr>
        <w:t xml:space="preserve"> </w:t>
      </w:r>
      <w:r>
        <w:rPr>
          <w:rFonts w:hint="default" w:ascii="Times New Roman" w:hAnsi="Times New Roman" w:cs="Times New Roman" w:eastAsiaTheme="minorEastAsia"/>
          <w:b/>
          <w:color w:val="auto"/>
          <w:sz w:val="36"/>
          <w:u w:val="single"/>
        </w:rPr>
        <w:t xml:space="preserve"> </w:t>
      </w:r>
      <w:r>
        <w:rPr>
          <w:rFonts w:hint="default" w:ascii="Times New Roman" w:hAnsi="Times New Roman" w:cs="Times New Roman" w:eastAsiaTheme="minorEastAsia"/>
          <w:b/>
          <w:color w:val="auto"/>
          <w:sz w:val="36"/>
          <w:u w:val="single"/>
          <w:lang w:val="en-US" w:eastAsia="zh-CN"/>
        </w:rPr>
        <w:t xml:space="preserve">  </w:t>
      </w: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80"/>
        <w:spacing w:before="0" w:after="0"/>
        <w:ind w:firstLine="0"/>
        <w:rPr>
          <w:rFonts w:hint="default" w:ascii="Times New Roman" w:hAnsi="Times New Roman" w:cs="Times New Roman" w:eastAsiaTheme="minorEastAsia"/>
          <w:color w:val="auto"/>
        </w:rPr>
      </w:pPr>
    </w:p>
    <w:p>
      <w:pPr>
        <w:pStyle w:val="5"/>
        <w:jc w:val="center"/>
        <w:rPr>
          <w:rFonts w:hint="default" w:ascii="楷体" w:hAnsi="楷体" w:eastAsia="楷体" w:cs="楷体"/>
          <w:color w:val="auto"/>
          <w:sz w:val="44"/>
        </w:rPr>
      </w:pPr>
      <w:r>
        <w:rPr>
          <w:rFonts w:hint="default" w:ascii="楷体" w:hAnsi="楷体" w:eastAsia="楷体" w:cs="楷体"/>
          <w:color w:val="auto"/>
          <w:sz w:val="44"/>
        </w:rPr>
        <w:t>第一部分  投标邀请函</w:t>
      </w:r>
      <w:bookmarkEnd w:id="0"/>
    </w:p>
    <w:p>
      <w:pPr>
        <w:pStyle w:val="25"/>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SA"/>
        </w:rPr>
        <w:t>江苏开放大学以终身教育理念为先导，以服务全民学习、终身学习、促进人的全面发展为宗旨，以培养高素质应用型人才为任务。为更好地满足学校的业务需求，更好地服务于新型开放大学的人才培养模式，加快建设管控科学、运作高效的开放式课程平台，以信息化推进管理规范化，精细化，助推教学信息化，有效促进人才培养模式创新，管理模式创新，</w:t>
      </w:r>
      <w:r>
        <w:rPr>
          <w:rFonts w:hint="default" w:ascii="Times New Roman" w:hAnsi="Times New Roman" w:cs="Times New Roman" w:eastAsiaTheme="minorEastAsia"/>
          <w:color w:val="auto"/>
          <w:sz w:val="21"/>
          <w:szCs w:val="21"/>
        </w:rPr>
        <w:t>现对我校</w:t>
      </w:r>
      <w:r>
        <w:rPr>
          <w:rFonts w:hint="default" w:ascii="Times New Roman" w:hAnsi="Times New Roman" w:cs="Times New Roman" w:eastAsiaTheme="minorEastAsia"/>
          <w:color w:val="auto"/>
          <w:sz w:val="21"/>
          <w:szCs w:val="21"/>
          <w:u w:val="single"/>
          <w:lang w:val="en-US" w:eastAsia="zh-CN"/>
        </w:rPr>
        <w:t xml:space="preserve">  </w:t>
      </w:r>
      <w:r>
        <w:rPr>
          <w:rFonts w:hint="default" w:ascii="Times New Roman" w:hAnsi="Times New Roman" w:cs="Times New Roman" w:eastAsiaTheme="minorEastAsia"/>
          <w:color w:val="auto"/>
          <w:sz w:val="21"/>
          <w:szCs w:val="21"/>
          <w:u w:val="single"/>
        </w:rPr>
        <w:t xml:space="preserve">开放式课程平台开发运维 </w:t>
      </w:r>
      <w:r>
        <w:rPr>
          <w:rFonts w:hint="default" w:ascii="Times New Roman" w:hAnsi="Times New Roman" w:cs="Times New Roman" w:eastAsiaTheme="minorEastAsia"/>
          <w:color w:val="auto"/>
          <w:sz w:val="21"/>
          <w:szCs w:val="21"/>
          <w:u w:val="single"/>
          <w:lang w:val="en-US" w:eastAsia="zh-CN"/>
        </w:rPr>
        <w:t xml:space="preserve"> </w:t>
      </w:r>
      <w:r>
        <w:rPr>
          <w:rFonts w:hint="default" w:ascii="Times New Roman" w:hAnsi="Times New Roman" w:cs="Times New Roman" w:eastAsiaTheme="minorEastAsia"/>
          <w:color w:val="auto"/>
          <w:sz w:val="21"/>
          <w:szCs w:val="21"/>
        </w:rPr>
        <w:t>项目组织公开招标，欢迎符合资格条件的单位前来投标。</w:t>
      </w:r>
    </w:p>
    <w:p>
      <w:pPr>
        <w:pStyle w:val="5"/>
        <w:rPr>
          <w:rFonts w:hint="default" w:ascii="Times New Roman" w:hAnsi="Times New Roman" w:cs="Times New Roman" w:eastAsiaTheme="minorEastAsia"/>
          <w:color w:val="auto"/>
          <w:sz w:val="21"/>
          <w:szCs w:val="21"/>
        </w:rPr>
      </w:pPr>
      <w:bookmarkStart w:id="3" w:name="_Toc455914597"/>
      <w:r>
        <w:rPr>
          <w:rFonts w:hint="default" w:ascii="Times New Roman" w:hAnsi="Times New Roman" w:cs="Times New Roman" w:eastAsiaTheme="minorEastAsia"/>
          <w:color w:val="auto"/>
          <w:sz w:val="21"/>
          <w:szCs w:val="21"/>
        </w:rPr>
        <w:t>1.1项目概况</w:t>
      </w:r>
      <w:bookmarkEnd w:id="3"/>
    </w:p>
    <w:p>
      <w:pPr>
        <w:pStyle w:val="25"/>
        <w:numPr>
          <w:ilvl w:val="0"/>
          <w:numId w:val="4"/>
        </w:numPr>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项目编号：2019-ZB-XC059。</w:t>
      </w:r>
    </w:p>
    <w:p>
      <w:pPr>
        <w:pStyle w:val="25"/>
        <w:numPr>
          <w:ilvl w:val="0"/>
          <w:numId w:val="4"/>
        </w:numPr>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项目名称：开放式课程平台开发运维。</w:t>
      </w:r>
    </w:p>
    <w:p>
      <w:pPr>
        <w:pStyle w:val="25"/>
        <w:numPr>
          <w:ilvl w:val="0"/>
          <w:numId w:val="4"/>
        </w:numPr>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项目预算：</w:t>
      </w:r>
      <w:r>
        <w:rPr>
          <w:rFonts w:hint="eastAsia" w:ascii="Times New Roman" w:hAnsi="Times New Roman" w:cs="Times New Roman" w:eastAsiaTheme="minorEastAsia"/>
          <w:color w:val="auto"/>
          <w:sz w:val="21"/>
          <w:szCs w:val="21"/>
          <w:lang w:val="en-US" w:eastAsia="zh-CN"/>
        </w:rPr>
        <w:t>19.9</w:t>
      </w:r>
      <w:r>
        <w:rPr>
          <w:rFonts w:hint="default" w:ascii="Times New Roman" w:hAnsi="Times New Roman" w:cs="Times New Roman" w:eastAsiaTheme="minorEastAsia"/>
          <w:color w:val="auto"/>
          <w:sz w:val="21"/>
          <w:szCs w:val="21"/>
        </w:rPr>
        <w:t>万</w:t>
      </w:r>
      <w:r>
        <w:rPr>
          <w:rFonts w:hint="default" w:ascii="Times New Roman" w:hAnsi="Times New Roman" w:cs="Times New Roman" w:eastAsiaTheme="minorEastAsia"/>
          <w:color w:val="auto"/>
          <w:sz w:val="21"/>
          <w:szCs w:val="21"/>
          <w:lang w:val="en-US" w:eastAsia="zh-CN"/>
        </w:rPr>
        <w:t>元</w:t>
      </w:r>
      <w:r>
        <w:rPr>
          <w:rFonts w:hint="default" w:ascii="Times New Roman" w:hAnsi="Times New Roman" w:cs="Times New Roman" w:eastAsiaTheme="minorEastAsia"/>
          <w:color w:val="auto"/>
          <w:sz w:val="21"/>
          <w:szCs w:val="21"/>
        </w:rPr>
        <w:t>。</w:t>
      </w:r>
    </w:p>
    <w:p>
      <w:pPr>
        <w:pStyle w:val="25"/>
        <w:numPr>
          <w:ilvl w:val="0"/>
          <w:numId w:val="4"/>
        </w:numPr>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实施期限：合同签订之日起</w:t>
      </w:r>
      <w:r>
        <w:rPr>
          <w:rFonts w:hint="default" w:ascii="Times New Roman" w:hAnsi="Times New Roman" w:cs="Times New Roman" w:eastAsiaTheme="minorEastAsia"/>
          <w:color w:val="auto"/>
          <w:sz w:val="21"/>
          <w:szCs w:val="21"/>
          <w:lang w:val="en-US" w:eastAsia="zh-CN"/>
        </w:rPr>
        <w:t>30</w:t>
      </w:r>
      <w:r>
        <w:rPr>
          <w:rFonts w:hint="eastAsia" w:ascii="Times New Roman" w:hAnsi="Times New Roman" w:cs="Times New Roman" w:eastAsiaTheme="minorEastAsia"/>
          <w:color w:val="auto"/>
          <w:sz w:val="21"/>
          <w:szCs w:val="21"/>
          <w:lang w:val="en-US" w:eastAsia="zh-CN"/>
        </w:rPr>
        <w:t>日</w:t>
      </w:r>
      <w:r>
        <w:rPr>
          <w:rFonts w:hint="default" w:ascii="Times New Roman" w:hAnsi="Times New Roman" w:cs="Times New Roman" w:eastAsiaTheme="minorEastAsia"/>
          <w:color w:val="auto"/>
          <w:sz w:val="21"/>
          <w:szCs w:val="21"/>
        </w:rPr>
        <w:t>。</w:t>
      </w:r>
    </w:p>
    <w:p>
      <w:pPr>
        <w:pStyle w:val="25"/>
        <w:numPr>
          <w:ilvl w:val="0"/>
          <w:numId w:val="4"/>
        </w:numPr>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免费</w:t>
      </w:r>
      <w:r>
        <w:rPr>
          <w:rFonts w:hint="default" w:ascii="Times New Roman" w:hAnsi="Times New Roman" w:cs="Times New Roman" w:eastAsiaTheme="minorEastAsia"/>
          <w:color w:val="auto"/>
          <w:sz w:val="21"/>
          <w:szCs w:val="21"/>
          <w:lang w:eastAsia="zh-CN"/>
        </w:rPr>
        <w:t>质保期：</w:t>
      </w:r>
      <w:r>
        <w:rPr>
          <w:rFonts w:hint="eastAsia" w:ascii="Times New Roman" w:hAnsi="Times New Roman" w:cs="Times New Roman" w:eastAsiaTheme="minorEastAsia"/>
          <w:color w:val="auto"/>
          <w:sz w:val="21"/>
          <w:szCs w:val="21"/>
          <w:lang w:val="en-US" w:eastAsia="zh-CN"/>
        </w:rPr>
        <w:t>一</w:t>
      </w:r>
      <w:r>
        <w:rPr>
          <w:rFonts w:hint="eastAsia" w:ascii="Times New Roman" w:hAnsi="Times New Roman" w:cs="Times New Roman" w:eastAsiaTheme="minorEastAsia"/>
          <w:color w:val="auto"/>
          <w:sz w:val="21"/>
          <w:szCs w:val="21"/>
          <w:lang w:eastAsia="zh-CN"/>
        </w:rPr>
        <w:t>年。</w:t>
      </w:r>
    </w:p>
    <w:p>
      <w:pPr>
        <w:pStyle w:val="5"/>
        <w:rPr>
          <w:rFonts w:hint="default" w:ascii="Times New Roman" w:hAnsi="Times New Roman" w:cs="Times New Roman" w:eastAsiaTheme="minorEastAsia"/>
          <w:color w:val="auto"/>
          <w:sz w:val="21"/>
          <w:szCs w:val="21"/>
        </w:rPr>
      </w:pPr>
      <w:bookmarkStart w:id="4" w:name="_Toc455914598"/>
      <w:r>
        <w:rPr>
          <w:rFonts w:hint="default" w:ascii="Times New Roman" w:hAnsi="Times New Roman" w:cs="Times New Roman" w:eastAsiaTheme="minorEastAsia"/>
          <w:color w:val="auto"/>
          <w:sz w:val="21"/>
          <w:szCs w:val="21"/>
        </w:rPr>
        <w:t>1.2投标人资质条件</w:t>
      </w:r>
      <w:bookmarkEnd w:id="4"/>
      <w:bookmarkStart w:id="5" w:name="_Toc422840930"/>
    </w:p>
    <w:p>
      <w:pPr>
        <w:spacing w:line="360" w:lineRule="auto"/>
        <w:ind w:firstLine="420" w:firstLineChars="200"/>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2、采购人根据采购项目的特殊要求规定的特定条件：无。</w:t>
      </w:r>
    </w:p>
    <w:p>
      <w:pPr>
        <w:spacing w:line="360" w:lineRule="auto"/>
        <w:ind w:firstLine="420" w:firstLineChars="200"/>
        <w:jc w:val="left"/>
        <w:rPr>
          <w:rFonts w:hint="default" w:ascii="Times New Roman" w:hAnsi="Times New Roman" w:cs="Times New Roman" w:eastAsiaTheme="minorEastAsia"/>
          <w:color w:val="auto"/>
          <w:szCs w:val="21"/>
        </w:rPr>
      </w:pPr>
      <w:r>
        <w:rPr>
          <w:rFonts w:hint="eastAsia" w:cs="Times New Roman" w:eastAsiaTheme="minorEastAsia"/>
          <w:color w:val="auto"/>
          <w:kern w:val="0"/>
          <w:szCs w:val="21"/>
          <w:lang w:val="en-US" w:eastAsia="zh-CN"/>
        </w:rPr>
        <w:t>3</w:t>
      </w:r>
      <w:r>
        <w:rPr>
          <w:rFonts w:hint="default" w:ascii="Times New Roman" w:hAnsi="Times New Roman" w:cs="Times New Roman" w:eastAsiaTheme="minorEastAsia"/>
          <w:color w:val="auto"/>
          <w:kern w:val="0"/>
          <w:szCs w:val="21"/>
        </w:rPr>
        <w:t>、本项目不接受联合体投标。</w:t>
      </w:r>
    </w:p>
    <w:bookmarkEnd w:id="5"/>
    <w:p>
      <w:pPr>
        <w:pStyle w:val="5"/>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1"/>
          <w:szCs w:val="21"/>
        </w:rPr>
        <w:t>1.3投标报名</w:t>
      </w:r>
    </w:p>
    <w:p>
      <w:pPr>
        <w:spacing w:line="360" w:lineRule="auto"/>
        <w:ind w:firstLine="420" w:firstLineChars="20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有意投标的投标人请在201</w:t>
      </w:r>
      <w:r>
        <w:rPr>
          <w:rFonts w:hint="default" w:ascii="Times New Roman" w:hAnsi="Times New Roman" w:cs="Times New Roman" w:eastAsiaTheme="minorEastAsia"/>
          <w:color w:val="auto"/>
          <w:lang w:val="en-US" w:eastAsia="zh-CN"/>
        </w:rPr>
        <w:t>9</w:t>
      </w:r>
      <w:r>
        <w:rPr>
          <w:rFonts w:hint="default" w:ascii="Times New Roman" w:hAnsi="Times New Roman" w:cs="Times New Roman" w:eastAsiaTheme="minorEastAsia"/>
          <w:color w:val="auto"/>
        </w:rPr>
        <w:t>年</w:t>
      </w:r>
      <w:r>
        <w:rPr>
          <w:rFonts w:hint="eastAsia" w:cs="Times New Roman" w:eastAsiaTheme="minorEastAsia"/>
          <w:color w:val="auto"/>
          <w:lang w:val="en-US" w:eastAsia="zh-CN"/>
        </w:rPr>
        <w:t>11</w:t>
      </w:r>
      <w:r>
        <w:rPr>
          <w:rFonts w:hint="default" w:ascii="Times New Roman" w:hAnsi="Times New Roman" w:cs="Times New Roman" w:eastAsiaTheme="minorEastAsia"/>
          <w:color w:val="auto"/>
        </w:rPr>
        <w:t>月</w:t>
      </w:r>
      <w:r>
        <w:rPr>
          <w:rFonts w:hint="eastAsia" w:cs="Times New Roman" w:eastAsiaTheme="minorEastAsia"/>
          <w:color w:val="auto"/>
          <w:lang w:val="en-US" w:eastAsia="zh-CN"/>
        </w:rPr>
        <w:t>20</w:t>
      </w:r>
      <w:r>
        <w:rPr>
          <w:rFonts w:hint="default" w:ascii="Times New Roman" w:hAnsi="Times New Roman" w:cs="Times New Roman" w:eastAsiaTheme="minorEastAsia"/>
          <w:color w:val="auto"/>
        </w:rPr>
        <w:t>日下午</w:t>
      </w:r>
      <w:r>
        <w:rPr>
          <w:rFonts w:hint="default" w:ascii="Times New Roman" w:hAnsi="Times New Roman" w:cs="Times New Roman" w:eastAsiaTheme="minorEastAsia"/>
          <w:color w:val="auto"/>
          <w:lang w:val="en-US" w:eastAsia="zh-CN"/>
        </w:rPr>
        <w:t>16：00</w:t>
      </w:r>
      <w:r>
        <w:rPr>
          <w:rFonts w:hint="default" w:ascii="Times New Roman" w:hAnsi="Times New Roman" w:cs="Times New Roman" w:eastAsiaTheme="minorEastAsia"/>
          <w:color w:val="auto"/>
        </w:rPr>
        <w:t>前发送单位名称、联系人、联系电话及项目编号和项目名称到2448775794@qq.com 邮箱中，并在邮件标题中注明“开放式课程平台开发运维”</w:t>
      </w:r>
      <w:r>
        <w:rPr>
          <w:rFonts w:hint="default" w:ascii="Times New Roman" w:hAnsi="Times New Roman" w:cs="Times New Roman" w:eastAsiaTheme="minorEastAsia"/>
          <w:color w:val="auto"/>
          <w:lang w:eastAsia="zh-CN"/>
        </w:rPr>
        <w:t>。</w:t>
      </w:r>
    </w:p>
    <w:p>
      <w:pPr>
        <w:spacing w:line="360" w:lineRule="auto"/>
        <w:ind w:firstLine="422" w:firstLineChars="20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凡未按要求报名者，学校不接受其投标。</w:t>
      </w:r>
    </w:p>
    <w:p>
      <w:pPr>
        <w:pStyle w:val="5"/>
        <w:rPr>
          <w:rFonts w:hint="default" w:ascii="Times New Roman" w:hAnsi="Times New Roman" w:cs="Times New Roman" w:eastAsiaTheme="minorEastAsia"/>
          <w:color w:val="auto"/>
          <w:sz w:val="21"/>
          <w:szCs w:val="21"/>
        </w:rPr>
      </w:pPr>
      <w:bookmarkStart w:id="6" w:name="_Toc455914599"/>
      <w:r>
        <w:rPr>
          <w:rFonts w:hint="default" w:ascii="Times New Roman" w:hAnsi="Times New Roman" w:cs="Times New Roman" w:eastAsiaTheme="minorEastAsia"/>
          <w:color w:val="auto"/>
          <w:sz w:val="21"/>
          <w:szCs w:val="21"/>
        </w:rPr>
        <w:t>1.4招标文件获取</w:t>
      </w:r>
      <w:bookmarkEnd w:id="6"/>
    </w:p>
    <w:p>
      <w:pPr>
        <w:pStyle w:val="25"/>
        <w:spacing w:before="0" w:beforeAutospacing="0" w:after="0" w:afterAutospacing="0" w:line="360" w:lineRule="auto"/>
        <w:ind w:firstLine="482"/>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即日起，投标人可至江苏开放大学首页下方（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3"/>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）“招标公告”栏的招标公告中自行下载。</w:t>
      </w:r>
    </w:p>
    <w:p>
      <w:pPr>
        <w:pStyle w:val="5"/>
        <w:rPr>
          <w:rFonts w:hint="default" w:ascii="Times New Roman" w:hAnsi="Times New Roman" w:cs="Times New Roman" w:eastAsiaTheme="minorEastAsia"/>
          <w:color w:val="auto"/>
          <w:sz w:val="21"/>
          <w:szCs w:val="21"/>
        </w:rPr>
      </w:pPr>
      <w:bookmarkStart w:id="7" w:name="_Toc455914600"/>
      <w:r>
        <w:rPr>
          <w:rFonts w:hint="default" w:ascii="Times New Roman" w:hAnsi="Times New Roman" w:cs="Times New Roman" w:eastAsiaTheme="minorEastAsia"/>
          <w:color w:val="auto"/>
          <w:sz w:val="21"/>
          <w:szCs w:val="21"/>
        </w:rPr>
        <w:t>1.5投标文件递交</w:t>
      </w:r>
      <w:bookmarkEnd w:id="7"/>
    </w:p>
    <w:p>
      <w:pPr>
        <w:pStyle w:val="25"/>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截止时间：201</w:t>
      </w:r>
      <w:r>
        <w:rPr>
          <w:rFonts w:hint="default" w:ascii="Times New Roman" w:hAnsi="Times New Roman" w:cs="Times New Roman" w:eastAsiaTheme="minorEastAsia"/>
          <w:color w:val="auto"/>
          <w:sz w:val="21"/>
          <w:szCs w:val="21"/>
          <w:lang w:val="en-US" w:eastAsia="zh-CN"/>
        </w:rPr>
        <w:t>9</w:t>
      </w:r>
      <w:r>
        <w:rPr>
          <w:rFonts w:hint="default" w:ascii="Times New Roman" w:hAnsi="Times New Roman" w:cs="Times New Roman" w:eastAsiaTheme="minorEastAsia"/>
          <w:color w:val="auto"/>
          <w:sz w:val="21"/>
          <w:szCs w:val="21"/>
        </w:rPr>
        <w:t>年</w:t>
      </w:r>
      <w:r>
        <w:rPr>
          <w:rFonts w:hint="eastAsia" w:ascii="Times New Roman" w:hAnsi="Times New Roman" w:cs="Times New Roman" w:eastAsiaTheme="minorEastAsia"/>
          <w:color w:val="auto"/>
          <w:sz w:val="21"/>
          <w:szCs w:val="21"/>
          <w:lang w:val="en-US" w:eastAsia="zh-CN"/>
        </w:rPr>
        <w:t>11</w:t>
      </w:r>
      <w:r>
        <w:rPr>
          <w:rFonts w:hint="default" w:ascii="Times New Roman" w:hAnsi="Times New Roman" w:cs="Times New Roman" w:eastAsiaTheme="minorEastAsia"/>
          <w:color w:val="auto"/>
          <w:sz w:val="21"/>
          <w:szCs w:val="21"/>
        </w:rPr>
        <w:t>月</w:t>
      </w:r>
      <w:r>
        <w:rPr>
          <w:rFonts w:hint="eastAsia" w:ascii="Times New Roman" w:hAnsi="Times New Roman" w:cs="Times New Roman" w:eastAsiaTheme="minorEastAsia"/>
          <w:color w:val="auto"/>
          <w:sz w:val="21"/>
          <w:szCs w:val="21"/>
          <w:lang w:val="en-US" w:eastAsia="zh-CN"/>
        </w:rPr>
        <w:t>21</w:t>
      </w:r>
      <w:r>
        <w:rPr>
          <w:rFonts w:hint="default" w:ascii="Times New Roman" w:hAnsi="Times New Roman" w:cs="Times New Roman" w:eastAsiaTheme="minorEastAsia"/>
          <w:color w:val="auto"/>
          <w:sz w:val="21"/>
          <w:szCs w:val="21"/>
        </w:rPr>
        <w:t>日下午</w:t>
      </w:r>
      <w:r>
        <w:rPr>
          <w:rFonts w:hint="default" w:ascii="Times New Roman" w:hAnsi="Times New Roman" w:cs="Times New Roman" w:eastAsiaTheme="minorEastAsia"/>
          <w:color w:val="auto"/>
          <w:sz w:val="21"/>
          <w:szCs w:val="21"/>
          <w:lang w:val="en-US" w:eastAsia="zh-CN"/>
        </w:rPr>
        <w:t>14：30</w:t>
      </w:r>
      <w:r>
        <w:rPr>
          <w:rFonts w:hint="default" w:ascii="Times New Roman" w:hAnsi="Times New Roman" w:cs="Times New Roman" w:eastAsiaTheme="minorEastAsia"/>
          <w:color w:val="auto"/>
          <w:sz w:val="21"/>
          <w:szCs w:val="21"/>
        </w:rPr>
        <w:t>。</w:t>
      </w:r>
    </w:p>
    <w:p>
      <w:pPr>
        <w:pStyle w:val="25"/>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递交地点：</w:t>
      </w:r>
      <w:bookmarkStart w:id="8" w:name="_Toc455914601"/>
      <w:r>
        <w:rPr>
          <w:rFonts w:hint="default" w:ascii="Times New Roman" w:hAnsi="Times New Roman" w:cs="Times New Roman" w:eastAsiaTheme="minorEastAsia"/>
          <w:color w:val="auto"/>
          <w:sz w:val="21"/>
          <w:szCs w:val="21"/>
        </w:rPr>
        <w:t>南京市鼓楼区江东北路399号（江东北路与定淮门大街交叉口西南角）江苏开放大学 办公楼</w:t>
      </w:r>
      <w:r>
        <w:rPr>
          <w:rFonts w:hint="eastAsia" w:ascii="Times New Roman" w:hAnsi="Times New Roman" w:cs="Times New Roman" w:eastAsiaTheme="minorEastAsia"/>
          <w:color w:val="auto"/>
          <w:sz w:val="21"/>
          <w:szCs w:val="21"/>
          <w:lang w:val="en-US" w:eastAsia="zh-CN"/>
        </w:rPr>
        <w:t>713</w:t>
      </w:r>
      <w:r>
        <w:rPr>
          <w:rFonts w:hint="default" w:ascii="Times New Roman" w:hAnsi="Times New Roman" w:cs="Times New Roman" w:eastAsiaTheme="minorEastAsia"/>
          <w:color w:val="auto"/>
          <w:sz w:val="21"/>
          <w:szCs w:val="21"/>
        </w:rPr>
        <w:t>会议室。</w:t>
      </w:r>
    </w:p>
    <w:p>
      <w:pPr>
        <w:pStyle w:val="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1.6开标时间及地点</w:t>
      </w:r>
      <w:bookmarkEnd w:id="8"/>
    </w:p>
    <w:p>
      <w:pPr>
        <w:pStyle w:val="25"/>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Style w:val="31"/>
          <w:rFonts w:hint="default" w:ascii="Times New Roman" w:hAnsi="Times New Roman" w:cs="Times New Roman" w:eastAsiaTheme="minorEastAsia"/>
          <w:b w:val="0"/>
          <w:color w:val="auto"/>
          <w:sz w:val="21"/>
          <w:szCs w:val="21"/>
        </w:rPr>
        <w:t>开标时间：</w:t>
      </w:r>
      <w:r>
        <w:rPr>
          <w:rFonts w:hint="default" w:ascii="Times New Roman" w:hAnsi="Times New Roman" w:cs="Times New Roman" w:eastAsiaTheme="minorEastAsia"/>
          <w:color w:val="auto"/>
          <w:sz w:val="21"/>
          <w:szCs w:val="21"/>
        </w:rPr>
        <w:t>201</w:t>
      </w:r>
      <w:r>
        <w:rPr>
          <w:rFonts w:hint="default" w:ascii="Times New Roman" w:hAnsi="Times New Roman" w:cs="Times New Roman" w:eastAsiaTheme="minorEastAsia"/>
          <w:color w:val="auto"/>
          <w:sz w:val="21"/>
          <w:szCs w:val="21"/>
          <w:lang w:val="en-US" w:eastAsia="zh-CN"/>
        </w:rPr>
        <w:t>9</w:t>
      </w:r>
      <w:r>
        <w:rPr>
          <w:rFonts w:hint="default" w:ascii="Times New Roman" w:hAnsi="Times New Roman" w:cs="Times New Roman" w:eastAsiaTheme="minorEastAsia"/>
          <w:color w:val="auto"/>
          <w:sz w:val="21"/>
          <w:szCs w:val="21"/>
        </w:rPr>
        <w:t>年</w:t>
      </w:r>
      <w:r>
        <w:rPr>
          <w:rFonts w:hint="eastAsia" w:ascii="Times New Roman" w:hAnsi="Times New Roman" w:cs="Times New Roman" w:eastAsiaTheme="minorEastAsia"/>
          <w:color w:val="auto"/>
          <w:sz w:val="21"/>
          <w:szCs w:val="21"/>
          <w:lang w:val="en-US" w:eastAsia="zh-CN"/>
        </w:rPr>
        <w:t>11</w:t>
      </w:r>
      <w:r>
        <w:rPr>
          <w:rFonts w:hint="default" w:ascii="Times New Roman" w:hAnsi="Times New Roman" w:cs="Times New Roman" w:eastAsiaTheme="minorEastAsia"/>
          <w:color w:val="auto"/>
          <w:sz w:val="21"/>
          <w:szCs w:val="21"/>
        </w:rPr>
        <w:t>月</w:t>
      </w:r>
      <w:r>
        <w:rPr>
          <w:rFonts w:hint="eastAsia" w:ascii="Times New Roman" w:hAnsi="Times New Roman" w:cs="Times New Roman" w:eastAsiaTheme="minorEastAsia"/>
          <w:color w:val="auto"/>
          <w:sz w:val="21"/>
          <w:szCs w:val="21"/>
          <w:lang w:val="en-US" w:eastAsia="zh-CN"/>
        </w:rPr>
        <w:t>21</w:t>
      </w:r>
      <w:r>
        <w:rPr>
          <w:rFonts w:hint="default" w:ascii="Times New Roman" w:hAnsi="Times New Roman" w:cs="Times New Roman" w:eastAsiaTheme="minorEastAsia"/>
          <w:color w:val="auto"/>
          <w:sz w:val="21"/>
          <w:szCs w:val="21"/>
        </w:rPr>
        <w:t>日下午</w:t>
      </w:r>
      <w:r>
        <w:rPr>
          <w:rFonts w:hint="default" w:ascii="Times New Roman" w:hAnsi="Times New Roman" w:cs="Times New Roman" w:eastAsiaTheme="minorEastAsia"/>
          <w:color w:val="auto"/>
          <w:sz w:val="21"/>
          <w:szCs w:val="21"/>
          <w:lang w:val="en-US" w:eastAsia="zh-CN"/>
        </w:rPr>
        <w:t>14：30</w:t>
      </w:r>
      <w:r>
        <w:rPr>
          <w:rFonts w:hint="default" w:ascii="Times New Roman" w:hAnsi="Times New Roman" w:cs="Times New Roman" w:eastAsiaTheme="minorEastAsia"/>
          <w:color w:val="auto"/>
          <w:sz w:val="21"/>
          <w:szCs w:val="21"/>
        </w:rPr>
        <w:t>。</w:t>
      </w:r>
    </w:p>
    <w:p>
      <w:pPr>
        <w:pStyle w:val="25"/>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Style w:val="31"/>
          <w:rFonts w:hint="default" w:ascii="Times New Roman" w:hAnsi="Times New Roman" w:cs="Times New Roman" w:eastAsiaTheme="minorEastAsia"/>
          <w:b w:val="0"/>
          <w:color w:val="auto"/>
          <w:sz w:val="21"/>
          <w:szCs w:val="21"/>
        </w:rPr>
        <w:t>开标地点：</w:t>
      </w:r>
      <w:r>
        <w:rPr>
          <w:rFonts w:hint="default" w:ascii="Times New Roman" w:hAnsi="Times New Roman" w:cs="Times New Roman" w:eastAsiaTheme="minorEastAsia"/>
          <w:color w:val="auto"/>
          <w:sz w:val="21"/>
          <w:szCs w:val="21"/>
        </w:rPr>
        <w:t>南京市鼓楼区江东北路399号（江东北路与定淮门大街交叉口西南角）江苏开放大学 办公楼</w:t>
      </w:r>
      <w:r>
        <w:rPr>
          <w:rFonts w:hint="eastAsia" w:ascii="Times New Roman" w:hAnsi="Times New Roman" w:cs="Times New Roman" w:eastAsiaTheme="minorEastAsia"/>
          <w:color w:val="auto"/>
          <w:sz w:val="21"/>
          <w:szCs w:val="21"/>
          <w:lang w:val="en-US" w:eastAsia="zh-CN"/>
        </w:rPr>
        <w:t>713</w:t>
      </w:r>
      <w:bookmarkStart w:id="49" w:name="_GoBack"/>
      <w:bookmarkEnd w:id="49"/>
      <w:r>
        <w:rPr>
          <w:rFonts w:hint="default" w:ascii="Times New Roman" w:hAnsi="Times New Roman" w:cs="Times New Roman" w:eastAsiaTheme="minorEastAsia"/>
          <w:color w:val="auto"/>
          <w:sz w:val="21"/>
          <w:szCs w:val="21"/>
        </w:rPr>
        <w:t>会议室。</w:t>
      </w:r>
    </w:p>
    <w:p>
      <w:pPr>
        <w:pStyle w:val="5"/>
        <w:rPr>
          <w:rFonts w:hint="default" w:ascii="Times New Roman" w:hAnsi="Times New Roman" w:cs="Times New Roman" w:eastAsiaTheme="minorEastAsia"/>
          <w:color w:val="auto"/>
          <w:sz w:val="21"/>
          <w:szCs w:val="21"/>
        </w:rPr>
      </w:pPr>
      <w:bookmarkStart w:id="9" w:name="_Toc455914602"/>
      <w:r>
        <w:rPr>
          <w:rFonts w:hint="default" w:ascii="Times New Roman" w:hAnsi="Times New Roman" w:cs="Times New Roman" w:eastAsiaTheme="minorEastAsia"/>
          <w:color w:val="auto"/>
          <w:sz w:val="21"/>
          <w:szCs w:val="21"/>
        </w:rPr>
        <w:t>1.7发布公告媒介</w:t>
      </w:r>
      <w:bookmarkEnd w:id="9"/>
    </w:p>
    <w:p>
      <w:pPr>
        <w:pStyle w:val="25"/>
        <w:wordWrap w:val="0"/>
        <w:spacing w:before="0" w:beforeAutospacing="0" w:after="0" w:afterAutospacing="0" w:line="360" w:lineRule="auto"/>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有关本次采购事务若存在变动和修改，敬请持续关注江苏开放大学首页下方（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3"/>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）“招标公告”栏。</w:t>
      </w:r>
    </w:p>
    <w:p>
      <w:pPr>
        <w:pStyle w:val="5"/>
        <w:rPr>
          <w:rFonts w:hint="default" w:ascii="Times New Roman" w:hAnsi="Times New Roman" w:cs="Times New Roman" w:eastAsiaTheme="minorEastAsia"/>
          <w:color w:val="auto"/>
          <w:sz w:val="21"/>
          <w:szCs w:val="21"/>
        </w:rPr>
      </w:pPr>
      <w:bookmarkStart w:id="10" w:name="_Toc455914603"/>
      <w:r>
        <w:rPr>
          <w:rFonts w:hint="default" w:ascii="Times New Roman" w:hAnsi="Times New Roman" w:cs="Times New Roman" w:eastAsiaTheme="minorEastAsia"/>
          <w:color w:val="auto"/>
          <w:sz w:val="21"/>
          <w:szCs w:val="21"/>
        </w:rPr>
        <w:t>1.8联系方式</w:t>
      </w:r>
      <w:bookmarkEnd w:id="10"/>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1、技术咨询：</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联系人：张老师</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联系电话：025-86265422</w:t>
      </w:r>
    </w:p>
    <w:p>
      <w:pPr>
        <w:pStyle w:val="25"/>
        <w:wordWrap w:val="0"/>
        <w:spacing w:before="0" w:beforeAutospacing="0" w:after="0" w:afterAutospacing="0"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2、招标事务：</w:t>
      </w:r>
    </w:p>
    <w:p>
      <w:pPr>
        <w:pStyle w:val="25"/>
        <w:wordWrap w:val="0"/>
        <w:spacing w:before="0" w:beforeAutospacing="0" w:after="0" w:afterAutospacing="0"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联系人：李老师</w:t>
      </w:r>
    </w:p>
    <w:p>
      <w:pPr>
        <w:pStyle w:val="25"/>
        <w:wordWrap w:val="0"/>
        <w:spacing w:before="0" w:beforeAutospacing="0" w:after="0" w:afterAutospacing="0"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电话：025-86265605</w:t>
      </w:r>
    </w:p>
    <w:p>
      <w:pPr>
        <w:pStyle w:val="25"/>
        <w:wordWrap w:val="0"/>
        <w:spacing w:before="0" w:beforeAutospacing="0" w:after="0" w:afterAutospacing="0"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邮编：210036</w:t>
      </w:r>
    </w:p>
    <w:p>
      <w:pPr>
        <w:pStyle w:val="25"/>
        <w:wordWrap w:val="0"/>
        <w:spacing w:before="0" w:beforeAutospacing="0" w:after="0" w:afterAutospacing="0"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地址：南京市鼓楼区江东北路399号（江东北路与定淮门大街交叉口西南角）办公楼</w:t>
      </w:r>
      <w:r>
        <w:rPr>
          <w:rFonts w:hint="eastAsia" w:ascii="Times New Roman" w:hAnsi="Times New Roman" w:cs="Times New Roman" w:eastAsiaTheme="minorEastAsia"/>
          <w:color w:val="auto"/>
          <w:sz w:val="21"/>
          <w:szCs w:val="21"/>
          <w:lang w:val="en-US" w:eastAsia="zh-CN"/>
        </w:rPr>
        <w:t>707</w:t>
      </w:r>
      <w:r>
        <w:rPr>
          <w:rFonts w:hint="default" w:ascii="Times New Roman" w:hAnsi="Times New Roman" w:cs="Times New Roman" w:eastAsiaTheme="minorEastAsia"/>
          <w:color w:val="auto"/>
          <w:sz w:val="21"/>
          <w:szCs w:val="21"/>
        </w:rPr>
        <w:t>室</w:t>
      </w:r>
    </w:p>
    <w:p>
      <w:pPr>
        <w:pStyle w:val="25"/>
        <w:wordWrap w:val="0"/>
        <w:spacing w:before="0" w:beforeAutospacing="0" w:after="0" w:afterAutospacing="0" w:line="360" w:lineRule="auto"/>
        <w:ind w:firstLine="482"/>
        <w:rPr>
          <w:rFonts w:hint="default" w:ascii="Times New Roman" w:hAnsi="Times New Roman" w:cs="Times New Roman" w:eastAsiaTheme="minorEastAsia"/>
          <w:color w:val="auto"/>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hint="eastAsia" w:ascii="楷体" w:hAnsi="楷体" w:eastAsia="楷体" w:cs="楷体"/>
          <w:color w:val="auto"/>
          <w:sz w:val="44"/>
        </w:rPr>
      </w:pPr>
      <w:bookmarkStart w:id="11" w:name="_Toc455914604"/>
      <w:r>
        <w:rPr>
          <w:rFonts w:hint="eastAsia" w:ascii="楷体" w:hAnsi="楷体" w:eastAsia="楷体" w:cs="楷体"/>
          <w:color w:val="auto"/>
          <w:sz w:val="44"/>
        </w:rPr>
        <w:t>第二部分  投标人须知</w:t>
      </w:r>
      <w:bookmarkEnd w:id="11"/>
    </w:p>
    <w:p>
      <w:pPr>
        <w:pStyle w:val="25"/>
        <w:spacing w:before="0" w:beforeAutospacing="0" w:after="150" w:afterAutospacing="0" w:line="420" w:lineRule="atLeas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（注:投标人应认真阅读招标文件的全部内容。投标人必须按照招标文件的规定和要求提交投标文件及要求提供的全部资料，否则，责任自负。）</w:t>
      </w:r>
    </w:p>
    <w:p>
      <w:pPr>
        <w:pStyle w:val="5"/>
        <w:rPr>
          <w:rFonts w:hint="default" w:ascii="Times New Roman" w:hAnsi="Times New Roman" w:cs="Times New Roman" w:eastAsiaTheme="minorEastAsia"/>
          <w:color w:val="auto"/>
          <w:sz w:val="21"/>
          <w:szCs w:val="21"/>
        </w:rPr>
      </w:pPr>
      <w:bookmarkStart w:id="12" w:name="_Toc455914605"/>
      <w:bookmarkStart w:id="13" w:name="_Toc384844734"/>
      <w:bookmarkStart w:id="14" w:name="_Toc386980211"/>
      <w:r>
        <w:rPr>
          <w:rFonts w:hint="default" w:ascii="Times New Roman" w:hAnsi="Times New Roman" w:cs="Times New Roman" w:eastAsiaTheme="minorEastAsia"/>
          <w:color w:val="auto"/>
          <w:sz w:val="21"/>
          <w:szCs w:val="21"/>
        </w:rPr>
        <w:t>2.1 总则</w:t>
      </w:r>
      <w:bookmarkEnd w:id="12"/>
      <w:bookmarkEnd w:id="13"/>
      <w:bookmarkEnd w:id="14"/>
    </w:p>
    <w:p>
      <w:pPr>
        <w:spacing w:line="360" w:lineRule="auto"/>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2、招标公告与招标文件不一致的条款以招标文件为准。</w:t>
      </w:r>
    </w:p>
    <w:p>
      <w:pPr>
        <w:spacing w:line="360" w:lineRule="auto"/>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3、如发现招标文件存在影响公正评标的条款、项目，请即向招标联系人质疑、指出。</w:t>
      </w:r>
    </w:p>
    <w:p>
      <w:pPr>
        <w:spacing w:line="360" w:lineRule="auto"/>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5、本次招标活动细则由江苏开放大学招投标管理办公室负责解释。</w:t>
      </w:r>
    </w:p>
    <w:p>
      <w:pPr>
        <w:pStyle w:val="5"/>
        <w:rPr>
          <w:rFonts w:hint="default" w:ascii="Times New Roman" w:hAnsi="Times New Roman" w:cs="Times New Roman" w:eastAsiaTheme="minorEastAsia"/>
          <w:color w:val="auto"/>
          <w:sz w:val="21"/>
          <w:szCs w:val="21"/>
        </w:rPr>
      </w:pPr>
      <w:bookmarkStart w:id="15" w:name="_Toc455914606"/>
      <w:r>
        <w:rPr>
          <w:rFonts w:hint="default" w:ascii="Times New Roman" w:hAnsi="Times New Roman" w:cs="Times New Roman" w:eastAsiaTheme="minorEastAsia"/>
          <w:color w:val="auto"/>
          <w:sz w:val="21"/>
          <w:szCs w:val="21"/>
        </w:rPr>
        <w:t>2.2投标文件要求</w:t>
      </w:r>
      <w:bookmarkEnd w:id="15"/>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投标人应严格按照下列内容及顺序编写、装订投标文件。投标文件格式见第五部分。请投标人准确编制目录及页码，否则将影响对投标文件的评价。</w:t>
      </w:r>
    </w:p>
    <w:p>
      <w:pPr>
        <w:pStyle w:val="16"/>
        <w:spacing w:line="360" w:lineRule="auto"/>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rPr>
        <w:t>2.2.1</w:t>
      </w:r>
      <w:r>
        <w:rPr>
          <w:rFonts w:hint="default" w:ascii="Times New Roman" w:hAnsi="Times New Roman" w:cs="Times New Roman" w:eastAsiaTheme="minorEastAsia"/>
          <w:b/>
          <w:color w:val="auto"/>
          <w:szCs w:val="21"/>
        </w:rPr>
        <w:t>投标文件的一般构成</w:t>
      </w:r>
    </w:p>
    <w:p>
      <w:pPr>
        <w:pStyle w:val="16"/>
        <w:numPr>
          <w:ilvl w:val="0"/>
          <w:numId w:val="5"/>
        </w:numPr>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投标函及开标一览表</w:t>
      </w:r>
    </w:p>
    <w:p>
      <w:pPr>
        <w:pStyle w:val="16"/>
        <w:numPr>
          <w:ilvl w:val="0"/>
          <w:numId w:val="5"/>
        </w:numPr>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法定代表人资格证明书或授权委托书</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3、投标报价明细表</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4、产品质保及服务承诺书</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5、资格证明文件</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6、企业相关业绩</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7、投标书附件：由投标人根据各自情况自行编制，主要内容包括：针对本项目的实施方案、服务承诺等内容以及投标人认为需要提供的其它文件。</w:t>
      </w:r>
    </w:p>
    <w:p>
      <w:pPr>
        <w:pStyle w:val="16"/>
        <w:spacing w:line="360" w:lineRule="auto"/>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rPr>
        <w:t>2.2.2</w:t>
      </w:r>
      <w:r>
        <w:rPr>
          <w:rFonts w:hint="default" w:ascii="Times New Roman" w:hAnsi="Times New Roman" w:cs="Times New Roman" w:eastAsiaTheme="minorEastAsia"/>
          <w:b/>
          <w:color w:val="auto"/>
          <w:szCs w:val="21"/>
        </w:rPr>
        <w:t>投标文件的签署与封装</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1、投标文件为正本1份，副本4份，须各自装订成册，并由法人或授权代表签字。每套投标文件须清楚地标明“正本”或“副本”。当正本与副本内容不一致时，以正本为准。</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2、投标文件的正本和副本必须密封完好，并在密封袋骑缝处加盖与投标人一致的有效印章；密封袋上应注明⑴招标项目名称及编号；⑵投标人的名称；⑶“开标前不得开封”字样。</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3、投标文件装订成册（胶封），应列出目录并逐页标注页码。</w:t>
      </w:r>
    </w:p>
    <w:p>
      <w:pPr>
        <w:pStyle w:val="16"/>
        <w:spacing w:line="360" w:lineRule="auto"/>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szCs w:val="21"/>
        </w:rPr>
        <w:t>4、</w:t>
      </w:r>
      <w:r>
        <w:rPr>
          <w:rFonts w:hint="default" w:ascii="Times New Roman" w:hAnsi="Times New Roman" w:cs="Times New Roman" w:eastAsiaTheme="minorEastAsia"/>
          <w:color w:val="auto"/>
          <w:kern w:val="0"/>
          <w:szCs w:val="21"/>
        </w:rPr>
        <w:t>一经投标，无论投标人是否中标，其投标文件不予退还。</w:t>
      </w:r>
    </w:p>
    <w:p>
      <w:pPr>
        <w:pStyle w:val="5"/>
        <w:rPr>
          <w:rFonts w:hint="default" w:ascii="Times New Roman" w:hAnsi="Times New Roman" w:cs="Times New Roman" w:eastAsiaTheme="minorEastAsia"/>
          <w:color w:val="auto"/>
          <w:sz w:val="21"/>
          <w:szCs w:val="21"/>
        </w:rPr>
      </w:pPr>
      <w:bookmarkStart w:id="16" w:name="_Toc455914607"/>
      <w:r>
        <w:rPr>
          <w:rFonts w:hint="default" w:ascii="Times New Roman" w:hAnsi="Times New Roman" w:cs="Times New Roman" w:eastAsiaTheme="minorEastAsia"/>
          <w:color w:val="auto"/>
          <w:sz w:val="21"/>
          <w:szCs w:val="21"/>
        </w:rPr>
        <w:t>2.3投标报价要求</w:t>
      </w:r>
      <w:bookmarkEnd w:id="16"/>
    </w:p>
    <w:p>
      <w:pPr>
        <w:pStyle w:val="16"/>
        <w:spacing w:line="360" w:lineRule="auto"/>
        <w:ind w:firstLine="420" w:firstLineChars="200"/>
        <w:rPr>
          <w:rFonts w:hint="default" w:ascii="Times New Roman" w:hAnsi="Times New Roman" w:cs="Times New Roman" w:eastAsiaTheme="minorEastAsia"/>
          <w:color w:val="auto"/>
          <w:szCs w:val="21"/>
        </w:rPr>
      </w:pPr>
      <w:bookmarkStart w:id="17" w:name="_Toc386980213"/>
      <w:bookmarkStart w:id="18" w:name="_Toc455914608"/>
      <w:bookmarkStart w:id="19" w:name="_Toc384844736"/>
      <w:r>
        <w:rPr>
          <w:rFonts w:hint="default" w:ascii="Times New Roman" w:hAnsi="Times New Roman" w:cs="Times New Roman" w:eastAsiaTheme="minorEastAsia"/>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2、报价单位需对上述项目全部报价，最低价不作为中标保证（在密封的文件上注明所投项目）。</w:t>
      </w:r>
    </w:p>
    <w:bookmarkEnd w:id="17"/>
    <w:bookmarkEnd w:id="18"/>
    <w:bookmarkEnd w:id="19"/>
    <w:p>
      <w:pPr>
        <w:pStyle w:val="5"/>
        <w:rPr>
          <w:rFonts w:hint="default" w:ascii="Times New Roman" w:hAnsi="Times New Roman" w:cs="Times New Roman" w:eastAsiaTheme="minorEastAsia"/>
          <w:color w:val="auto"/>
          <w:sz w:val="21"/>
          <w:szCs w:val="21"/>
        </w:rPr>
      </w:pPr>
      <w:bookmarkStart w:id="20" w:name="_Toc384844737"/>
      <w:bookmarkStart w:id="21" w:name="_Toc386980214"/>
      <w:bookmarkStart w:id="22" w:name="_Toc455914609"/>
      <w:r>
        <w:rPr>
          <w:rFonts w:hint="default" w:ascii="Times New Roman" w:hAnsi="Times New Roman" w:cs="Times New Roman" w:eastAsiaTheme="minorEastAsia"/>
          <w:color w:val="auto"/>
          <w:sz w:val="21"/>
          <w:szCs w:val="21"/>
        </w:rPr>
        <w:t>2.4评标与定标</w:t>
      </w:r>
      <w:bookmarkEnd w:id="20"/>
      <w:bookmarkEnd w:id="21"/>
      <w:bookmarkEnd w:id="22"/>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1、本项目采用 </w:t>
      </w:r>
      <w:r>
        <w:rPr>
          <w:rFonts w:hint="default" w:ascii="Times New Roman" w:hAnsi="Times New Roman" w:cs="Times New Roman" w:eastAsiaTheme="minorEastAsia"/>
          <w:color w:val="auto"/>
          <w:szCs w:val="21"/>
          <w:u w:val="single"/>
        </w:rPr>
        <w:t>资格后审</w:t>
      </w:r>
      <w:r>
        <w:rPr>
          <w:rFonts w:hint="default" w:ascii="Times New Roman" w:hAnsi="Times New Roman" w:cs="Times New Roman" w:eastAsiaTheme="minorEastAsia"/>
          <w:color w:val="auto"/>
          <w:szCs w:val="21"/>
        </w:rPr>
        <w:t>。</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经过资格审查，应有三家（含）以上合格投标人。</w:t>
      </w:r>
    </w:p>
    <w:p>
      <w:pPr>
        <w:pStyle w:val="16"/>
        <w:numPr>
          <w:ilvl w:val="0"/>
          <w:numId w:val="0"/>
        </w:numPr>
        <w:spacing w:line="360" w:lineRule="auto"/>
        <w:ind w:leftChars="200"/>
        <w:rPr>
          <w:rFonts w:hint="default"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lang w:val="en-US" w:eastAsia="zh-CN"/>
        </w:rPr>
        <w:t>2、</w:t>
      </w:r>
      <w:r>
        <w:rPr>
          <w:rFonts w:hint="default" w:ascii="Times New Roman" w:hAnsi="Times New Roman" w:cs="Times New Roman" w:eastAsiaTheme="minorEastAsia"/>
          <w:color w:val="auto"/>
          <w:szCs w:val="21"/>
        </w:rPr>
        <w:t xml:space="preserve">本次招标采用 </w:t>
      </w:r>
      <w:r>
        <w:rPr>
          <w:rFonts w:hint="default" w:ascii="Times New Roman" w:hAnsi="Times New Roman" w:cs="Times New Roman" w:eastAsiaTheme="minorEastAsia"/>
          <w:color w:val="auto"/>
          <w:szCs w:val="21"/>
          <w:u w:val="single"/>
        </w:rPr>
        <w:t>综合评分法</w:t>
      </w:r>
      <w:r>
        <w:rPr>
          <w:rFonts w:hint="default" w:ascii="Times New Roman" w:hAnsi="Times New Roman" w:cs="Times New Roman" w:eastAsiaTheme="minorEastAsia"/>
          <w:color w:val="auto"/>
          <w:szCs w:val="21"/>
        </w:rPr>
        <w:t>，即在最大限度地满足招标文件实质性要求的前提下，按照招标文件中规定的各项因素进行综合评审后，以评标总得分最高的投标人作为中标候选供应商或者中标供应商的评标方法。</w:t>
      </w:r>
    </w:p>
    <w:p>
      <w:pPr>
        <w:pStyle w:val="16"/>
        <w:numPr>
          <w:ilvl w:val="0"/>
          <w:numId w:val="0"/>
        </w:numPr>
        <w:spacing w:line="360" w:lineRule="auto"/>
        <w:ind w:leftChars="200"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得分相同的，按报价从低到高顺序排列；得分且报价相同的，按技术得分从低到高顺序排列。</w:t>
      </w:r>
    </w:p>
    <w:p>
      <w:pPr>
        <w:pStyle w:val="16"/>
        <w:numPr>
          <w:ilvl w:val="0"/>
          <w:numId w:val="0"/>
        </w:numPr>
        <w:spacing w:line="360" w:lineRule="auto"/>
        <w:ind w:leftChars="200"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综合排名第一的作为中标人，第二名为中标候选人。</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3、评分规则：</w:t>
      </w:r>
    </w:p>
    <w:tbl>
      <w:tblPr>
        <w:tblStyle w:val="28"/>
        <w:tblpPr w:leftFromText="180" w:rightFromText="180" w:vertAnchor="text" w:horzAnchor="page" w:tblpX="1830" w:tblpY="446"/>
        <w:tblOverlap w:val="never"/>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685"/>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评分因素</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分值</w:t>
            </w:r>
          </w:p>
        </w:tc>
        <w:tc>
          <w:tcPr>
            <w:tcW w:w="6453" w:type="dxa"/>
            <w:vAlign w:val="center"/>
          </w:tcPr>
          <w:p>
            <w:pPr>
              <w:snapToGrid w:val="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投标报价</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15</w:t>
            </w:r>
          </w:p>
        </w:tc>
        <w:tc>
          <w:tcPr>
            <w:tcW w:w="6453" w:type="dxa"/>
            <w:vAlign w:val="center"/>
          </w:tcPr>
          <w:p>
            <w:pPr>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采用低价优先法计算，即满足招标文件要求且投标价格最低的投标报价为评标基准价，其价格分为满分。</w:t>
            </w:r>
          </w:p>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其他满足招标文件要求的投标人的价格分统一按照下列公式计算：投标报价得分= (评标基准价/投标报价)×15（得分保留两位小数）</w:t>
            </w:r>
            <w:r>
              <w:rPr>
                <w:rFonts w:hint="default" w:ascii="Times New Roman" w:hAnsi="Times New Roman" w:cs="Times New Roman"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rPr>
              <w:t>企业资</w:t>
            </w:r>
            <w:r>
              <w:rPr>
                <w:rFonts w:hint="default" w:ascii="Times New Roman" w:hAnsi="Times New Roman" w:cs="Times New Roman" w:eastAsiaTheme="minorEastAsia"/>
                <w:color w:val="auto"/>
                <w:kern w:val="0"/>
                <w:sz w:val="21"/>
                <w:szCs w:val="21"/>
                <w:lang w:val="en-US" w:eastAsia="zh-CN"/>
              </w:rPr>
              <w:t>信</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val="en-US" w:eastAsia="zh-CN"/>
              </w:rPr>
              <w:t>5</w:t>
            </w:r>
          </w:p>
        </w:tc>
        <w:tc>
          <w:tcPr>
            <w:tcW w:w="6453" w:type="dxa"/>
            <w:vAlign w:val="center"/>
          </w:tcPr>
          <w:p>
            <w:pPr>
              <w:widowControl/>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投标供应商提供信用评级机构出具的信用等级证书：</w:t>
            </w:r>
          </w:p>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AAA级</w:t>
            </w:r>
            <w:r>
              <w:rPr>
                <w:rFonts w:hint="default" w:ascii="Times New Roman" w:hAnsi="Times New Roman" w:cs="Times New Roman" w:eastAsiaTheme="minorEastAsia"/>
                <w:color w:val="auto"/>
                <w:sz w:val="21"/>
                <w:szCs w:val="21"/>
                <w:lang w:val="en-US" w:eastAsia="zh-CN"/>
              </w:rPr>
              <w:t>诚信经营示范单位；</w:t>
            </w:r>
          </w:p>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（2）AAA资信等级证书；</w:t>
            </w:r>
          </w:p>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（3）AAA级质量服务信誉单位证书；</w:t>
            </w:r>
          </w:p>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（4）AAA级重合同守信用单位证书；</w:t>
            </w:r>
          </w:p>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（5）AAA级信用企业。</w:t>
            </w:r>
          </w:p>
          <w:p>
            <w:pPr>
              <w:widowControl/>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每提供一个</w:t>
            </w:r>
            <w:r>
              <w:rPr>
                <w:rFonts w:hint="default" w:ascii="Times New Roman" w:hAnsi="Times New Roman" w:cs="Times New Roman" w:eastAsiaTheme="minorEastAsia"/>
                <w:color w:val="auto"/>
                <w:sz w:val="21"/>
                <w:szCs w:val="21"/>
              </w:rPr>
              <w:t>得</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分，</w:t>
            </w:r>
            <w:r>
              <w:rPr>
                <w:rFonts w:hint="default" w:ascii="Times New Roman" w:hAnsi="Times New Roman" w:cs="Times New Roman" w:eastAsiaTheme="minorEastAsia"/>
                <w:color w:val="auto"/>
                <w:sz w:val="21"/>
                <w:szCs w:val="21"/>
                <w:lang w:val="en-US" w:eastAsia="zh-CN"/>
              </w:rPr>
              <w:t>最高得5分</w:t>
            </w:r>
            <w:r>
              <w:rPr>
                <w:rFonts w:hint="default" w:ascii="Times New Roman" w:hAnsi="Times New Roman" w:cs="Times New Roman" w:eastAsiaTheme="minorEastAsia"/>
                <w:color w:val="auto"/>
                <w:sz w:val="21"/>
                <w:szCs w:val="21"/>
              </w:rPr>
              <w:t>。</w:t>
            </w:r>
          </w:p>
          <w:p>
            <w:pPr>
              <w:widowControl/>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eastAsia="zh-CN"/>
              </w:rPr>
              <w:t>需</w:t>
            </w:r>
            <w:r>
              <w:rPr>
                <w:rFonts w:hint="default" w:ascii="Times New Roman" w:hAnsi="Times New Roman" w:cs="Times New Roman" w:eastAsiaTheme="minorEastAsia"/>
                <w:color w:val="auto"/>
                <w:sz w:val="21"/>
                <w:szCs w:val="21"/>
              </w:rPr>
              <w:t>提供证书复印件加盖公章</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原件备查</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企业认证</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2</w:t>
            </w:r>
          </w:p>
        </w:tc>
        <w:tc>
          <w:tcPr>
            <w:tcW w:w="6453" w:type="dxa"/>
            <w:vAlign w:val="center"/>
          </w:tcPr>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投标人具有</w:t>
            </w:r>
            <w:r>
              <w:rPr>
                <w:rFonts w:hint="default" w:ascii="Times New Roman" w:hAnsi="Times New Roman" w:cs="Times New Roman" w:eastAsiaTheme="minorEastAsia"/>
                <w:color w:val="auto"/>
                <w:kern w:val="0"/>
                <w:sz w:val="21"/>
                <w:szCs w:val="21"/>
              </w:rPr>
              <w:t>ISO9001质量管理体系认证</w:t>
            </w:r>
            <w:r>
              <w:rPr>
                <w:rFonts w:hint="default" w:ascii="Times New Roman" w:hAnsi="Times New Roman" w:cs="Times New Roman" w:eastAsiaTheme="minorEastAsia"/>
                <w:color w:val="auto"/>
                <w:sz w:val="21"/>
                <w:szCs w:val="21"/>
                <w:lang w:val="en-US" w:eastAsia="zh-CN"/>
              </w:rPr>
              <w:t>的得2分。（需提供证书复印件加盖公章，原件备查）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创新能力</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10</w:t>
            </w:r>
          </w:p>
        </w:tc>
        <w:tc>
          <w:tcPr>
            <w:tcW w:w="6453" w:type="dxa"/>
            <w:vAlign w:val="center"/>
          </w:tcPr>
          <w:p>
            <w:pPr>
              <w:widowControl/>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w:t>
            </w:r>
            <w:r>
              <w:rPr>
                <w:rFonts w:hint="default" w:ascii="Times New Roman" w:hAnsi="Times New Roman" w:cs="Times New Roman" w:eastAsiaTheme="minorEastAsia"/>
                <w:color w:val="auto"/>
                <w:sz w:val="21"/>
                <w:szCs w:val="21"/>
                <w:lang w:val="en-US" w:eastAsia="zh-CN"/>
              </w:rPr>
              <w:t>教育</w:t>
            </w:r>
            <w:r>
              <w:rPr>
                <w:rFonts w:hint="default" w:ascii="Times New Roman" w:hAnsi="Times New Roman" w:cs="Times New Roman" w:eastAsiaTheme="minorEastAsia"/>
                <w:color w:val="auto"/>
                <w:sz w:val="21"/>
                <w:szCs w:val="21"/>
              </w:rPr>
              <w:t>信息化类软件</w:t>
            </w:r>
            <w:r>
              <w:rPr>
                <w:rFonts w:hint="default" w:ascii="Times New Roman" w:hAnsi="Times New Roman" w:cs="Times New Roman" w:eastAsiaTheme="minorEastAsia"/>
                <w:color w:val="auto"/>
                <w:sz w:val="21"/>
                <w:szCs w:val="21"/>
                <w:lang w:val="en-US" w:eastAsia="zh-CN"/>
              </w:rPr>
              <w:t>研</w:t>
            </w:r>
            <w:r>
              <w:rPr>
                <w:rFonts w:hint="default" w:ascii="Times New Roman" w:hAnsi="Times New Roman" w:cs="Times New Roman" w:eastAsiaTheme="minorEastAsia"/>
                <w:color w:val="auto"/>
                <w:sz w:val="21"/>
                <w:szCs w:val="21"/>
              </w:rPr>
              <w:t>发相关的计算机软件著作权登记证书（如</w:t>
            </w:r>
            <w:r>
              <w:rPr>
                <w:rFonts w:hint="default" w:ascii="Times New Roman" w:hAnsi="Times New Roman" w:cs="Times New Roman" w:eastAsiaTheme="minorEastAsia"/>
                <w:color w:val="auto"/>
                <w:sz w:val="21"/>
                <w:szCs w:val="21"/>
                <w:lang w:val="en-US" w:eastAsia="zh-CN"/>
              </w:rPr>
              <w:t>行业考试云平台、综合实验实训管理平台、网络考试系统、智慧考试终端软件、学科测评云平台、行业培训综合管理平台、智慧教务管理系统、开放教育教务管理平台、综合实践教学管理平台、开放教育教学管理平台</w:t>
            </w:r>
            <w:r>
              <w:rPr>
                <w:rFonts w:hint="default" w:ascii="Times New Roman" w:hAnsi="Times New Roman" w:cs="Times New Roman" w:eastAsiaTheme="minorEastAsia"/>
                <w:color w:val="auto"/>
                <w:sz w:val="21"/>
                <w:szCs w:val="21"/>
              </w:rPr>
              <w:t>等）。每提供一份得1分，最高得</w:t>
            </w:r>
            <w:r>
              <w:rPr>
                <w:rFonts w:hint="default" w:ascii="Times New Roman" w:hAnsi="Times New Roman" w:cs="Times New Roman" w:eastAsiaTheme="minorEastAsia"/>
                <w:color w:val="auto"/>
                <w:sz w:val="21"/>
                <w:szCs w:val="21"/>
                <w:lang w:val="en-US" w:eastAsia="zh-CN"/>
              </w:rPr>
              <w:t>10</w:t>
            </w:r>
            <w:r>
              <w:rPr>
                <w:rFonts w:hint="default" w:ascii="Times New Roman" w:hAnsi="Times New Roman" w:cs="Times New Roman" w:eastAsiaTheme="minorEastAsia"/>
                <w:color w:val="auto"/>
                <w:sz w:val="21"/>
                <w:szCs w:val="21"/>
              </w:rPr>
              <w:t>分。（</w:t>
            </w:r>
            <w:r>
              <w:rPr>
                <w:rFonts w:hint="default" w:ascii="Times New Roman" w:hAnsi="Times New Roman" w:cs="Times New Roman" w:eastAsiaTheme="minorEastAsia"/>
                <w:color w:val="auto"/>
                <w:sz w:val="21"/>
                <w:szCs w:val="21"/>
                <w:lang w:eastAsia="zh-CN"/>
              </w:rPr>
              <w:t>需</w:t>
            </w:r>
            <w:r>
              <w:rPr>
                <w:rFonts w:hint="default" w:ascii="Times New Roman" w:hAnsi="Times New Roman" w:cs="Times New Roman" w:eastAsiaTheme="minorEastAsia"/>
                <w:color w:val="auto"/>
                <w:sz w:val="21"/>
                <w:szCs w:val="21"/>
              </w:rPr>
              <w:t>提供证书复印件加盖公章</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原件备查</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13" w:type="dxa"/>
            <w:vAlign w:val="center"/>
          </w:tcPr>
          <w:p>
            <w:pPr>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项目案例</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8</w:t>
            </w:r>
          </w:p>
        </w:tc>
        <w:tc>
          <w:tcPr>
            <w:tcW w:w="6453" w:type="dxa"/>
            <w:vAlign w:val="center"/>
          </w:tcPr>
          <w:p>
            <w:pPr>
              <w:widowControl/>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提供网络教育平台项目建设案例，如项目类似的课程平台、培训平台等。每个合同4分，8分封顶。（需</w:t>
            </w:r>
            <w:r>
              <w:rPr>
                <w:rFonts w:hint="default" w:ascii="Times New Roman" w:hAnsi="Times New Roman" w:cs="Times New Roman" w:eastAsiaTheme="minorEastAsia"/>
                <w:color w:val="auto"/>
                <w:sz w:val="21"/>
                <w:szCs w:val="21"/>
              </w:rPr>
              <w:t>提供</w:t>
            </w:r>
            <w:r>
              <w:rPr>
                <w:rFonts w:hint="default" w:ascii="Times New Roman" w:hAnsi="Times New Roman" w:cs="Times New Roman" w:eastAsiaTheme="minorEastAsia"/>
                <w:color w:val="auto"/>
                <w:sz w:val="21"/>
                <w:szCs w:val="21"/>
                <w:lang w:eastAsia="zh-CN"/>
              </w:rPr>
              <w:t>合同</w:t>
            </w:r>
            <w:r>
              <w:rPr>
                <w:rFonts w:hint="default" w:ascii="Times New Roman" w:hAnsi="Times New Roman" w:cs="Times New Roman" w:eastAsiaTheme="minorEastAsia"/>
                <w:color w:val="auto"/>
                <w:sz w:val="21"/>
                <w:szCs w:val="21"/>
              </w:rPr>
              <w:t>复印件加盖公章</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服务方案</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20</w:t>
            </w:r>
          </w:p>
        </w:tc>
        <w:tc>
          <w:tcPr>
            <w:tcW w:w="6453" w:type="dxa"/>
            <w:vAlign w:val="center"/>
          </w:tcPr>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（1）总体技术架构</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总体技术架构主要包括数据库架构设计、应用系统架构设计、缓存架构设计、负载均衡架构设计，方案思路清晰，应用部署、技术架构层次合理，符合项目实际需求，得</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（2）可靠性与高性能</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提供高可靠性与高性能响应维护方案，能满足本项目实际应用要求，主要包括数据库高可用、应用服务高可用、负载均衡高可用、缓存高可用，得</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（3）数据对接</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提供与本项目要求的系统接口对应的维护方案，能实现开发维护平台关键数据与现有系统平台、认证系统之间平滑对接，得</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（4）数据分析</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提供基于用户行为分析的大数据分析技术方案及性能保障，主要包括教师行为数据分析、学生学习行为分析、平台运行情况分析，得</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（5）数据库设计</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对业务数据（单据、报表等）分析透彻、全面，能针对所有功能，有很详细的数据表结构、数据字典的设计等。设计能充分考虑与现有系统的无缝对接，能够兼容已有的历史数据信息，得</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（6）系统测试</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提供详细的测试方案、测试用例、测试报告等，得</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现场演示</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25</w:t>
            </w:r>
          </w:p>
        </w:tc>
        <w:tc>
          <w:tcPr>
            <w:tcW w:w="6453" w:type="dxa"/>
            <w:vAlign w:val="center"/>
          </w:tcPr>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现场演示及陈述：</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投标人需以真实业务数据运行的生产或测试系统现场演示以下内容，演示时间不超过15分钟。投标人以静态页面演示的，最高得10分；以PPT演示的，最高得5分；不演示本项不得分。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（1）招生管理（0~4分，根据现场演示酌情给分）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设置学习批次、招生批次；录入报名表、审核报名表。</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（2）学科管理（0~2分，根据现场演示酌情给分）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设置学科分类、设置课程、查看课程版本、审核考核要求、培养方案管理等学科管理相关业务流程。</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（3）教务管理（0~4分，根据现场演示酌情给分）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教师管理、课程教师团队管理；设置选课批次、退课控制、考试次数设置、代学生选课管理、班级管理、退课申请与审核等教务管理相关业务流程。</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（4）财务管理（0~6分，根据现场演示酌情给分）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缴费类型设置、收费标准设置、优惠费率设置；支持银联C扫B三码合一聚合支付；支持缴费统计，可以按教学点、学生、课程、缴费类型、缴费方式等多维度统计缴费数据。</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（5）教学管理（0~6分，根据现场演示酌情给分）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课程设计、发布和批改作业、发布和管理话题讨论、发布公告、文件管理；设置课程信息、开课时间、考核要求、参考教材、教师团队、班级管理；查看学习进度、学习成绩、学习分析、教师工作量。</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（6）学习过程（0~3分，根据现场演示酌情给分）</w:t>
            </w:r>
          </w:p>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课程超市、课程学习、完成作业、参与话题讨论、查看学习进度。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13"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驻场服务</w:t>
            </w:r>
          </w:p>
        </w:tc>
        <w:tc>
          <w:tcPr>
            <w:tcW w:w="685" w:type="dxa"/>
            <w:vAlign w:val="center"/>
          </w:tcPr>
          <w:p>
            <w:pPr>
              <w:snapToGrid w:val="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15</w:t>
            </w:r>
          </w:p>
        </w:tc>
        <w:tc>
          <w:tcPr>
            <w:tcW w:w="6453" w:type="dxa"/>
            <w:vAlign w:val="center"/>
          </w:tcPr>
          <w:p>
            <w:pPr>
              <w:keepNext w:val="0"/>
              <w:keepLines w:val="0"/>
              <w:pageBreakBefore w:val="0"/>
              <w:widowControl w:val="0"/>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投标人拟配备项目团队需驻场服务，且服务期不低于10个月（需提供承诺函）</w:t>
            </w:r>
            <w:r>
              <w:rPr>
                <w:rFonts w:hint="eastAsia" w:cs="Times New Roman" w:eastAsiaTheme="minorEastAsia"/>
                <w:color w:val="auto"/>
                <w:sz w:val="21"/>
                <w:szCs w:val="21"/>
                <w:lang w:val="en-US" w:eastAsia="zh-CN"/>
              </w:rPr>
              <w:t>，得5分。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（2）拟配备的</w:t>
            </w:r>
            <w:r>
              <w:rPr>
                <w:rFonts w:hint="default" w:ascii="Times New Roman" w:hAnsi="Times New Roman" w:cs="Times New Roman" w:eastAsiaTheme="minorEastAsia"/>
                <w:color w:val="auto"/>
                <w:sz w:val="21"/>
                <w:szCs w:val="21"/>
                <w:lang w:val="en-US" w:eastAsia="zh-CN"/>
              </w:rPr>
              <w:t>驻场服务团队</w:t>
            </w:r>
            <w:r>
              <w:rPr>
                <w:rFonts w:hint="eastAsia" w:cs="Times New Roman" w:eastAsiaTheme="minorEastAsia"/>
                <w:color w:val="auto"/>
                <w:sz w:val="21"/>
                <w:szCs w:val="21"/>
                <w:lang w:val="en-US" w:eastAsia="zh-CN"/>
              </w:rPr>
              <w:t>应</w:t>
            </w:r>
            <w:r>
              <w:rPr>
                <w:rFonts w:hint="default" w:ascii="Times New Roman" w:hAnsi="Times New Roman" w:cs="Times New Roman" w:eastAsiaTheme="minorEastAsia"/>
                <w:color w:val="auto"/>
                <w:sz w:val="21"/>
                <w:szCs w:val="21"/>
                <w:lang w:val="en-US" w:eastAsia="zh-CN"/>
              </w:rPr>
              <w:t>包括高级产品经理、高级开发工程师、中级开发工程师、高级测试工程师、运维工程师等领域本科及以上学历专业人员至少各1人，需提供学历学位证书</w:t>
            </w:r>
            <w:r>
              <w:rPr>
                <w:rFonts w:hint="eastAsia"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专业技能认证证书及过往代表性开发运维服务项目经历</w:t>
            </w:r>
            <w:r>
              <w:rPr>
                <w:rFonts w:hint="eastAsia" w:cs="Times New Roman" w:eastAsiaTheme="minorEastAsia"/>
                <w:color w:val="auto"/>
                <w:sz w:val="21"/>
                <w:szCs w:val="21"/>
                <w:lang w:val="en-US" w:eastAsia="zh-CN"/>
              </w:rPr>
              <w:t>（提供业绩证明材料），团队成员还应提供</w:t>
            </w:r>
            <w:r>
              <w:rPr>
                <w:rFonts w:hint="default" w:ascii="Times New Roman" w:hAnsi="Times New Roman" w:cs="Times New Roman" w:eastAsiaTheme="minorEastAsia"/>
                <w:color w:val="auto"/>
                <w:sz w:val="21"/>
                <w:szCs w:val="21"/>
                <w:lang w:val="en-US" w:eastAsia="zh-CN"/>
              </w:rPr>
              <w:t>至少3个月社保缴纳凭据复印件（凭据可以是缴费的银行单据、专用收据、社会保险缴纳清单或者所在社保机构开具的证明等，自行编写无效）。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驻场人员5人（含）以上，且相关材料完整，得10分；驻场人员1-4人，且相关材料完整，得5分；不提供本项不得分。</w:t>
            </w:r>
          </w:p>
        </w:tc>
      </w:tr>
    </w:tbl>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hint="eastAsia" w:ascii="宋体" w:hAnsi="宋体" w:cs="宋体"/>
          <w:b/>
          <w:color w:val="auto"/>
          <w:kern w:val="0"/>
          <w:szCs w:val="21"/>
          <w:lang w:val="zh-CN"/>
        </w:rPr>
      </w:pPr>
    </w:p>
    <w:p>
      <w:pPr>
        <w:spacing w:line="360" w:lineRule="auto"/>
        <w:rPr>
          <w:rFonts w:ascii="宋体" w:hAnsi="宋体" w:cs="宋体"/>
          <w:b/>
          <w:color w:val="auto"/>
          <w:kern w:val="0"/>
          <w:szCs w:val="21"/>
          <w:lang w:val="zh-CN"/>
        </w:rPr>
      </w:pPr>
      <w:r>
        <w:rPr>
          <w:rFonts w:hint="eastAsia" w:ascii="宋体" w:hAnsi="宋体" w:cs="宋体"/>
          <w:b/>
          <w:color w:val="auto"/>
          <w:kern w:val="0"/>
          <w:szCs w:val="21"/>
          <w:lang w:val="zh-CN"/>
        </w:rPr>
        <w:t>说明：</w:t>
      </w:r>
    </w:p>
    <w:p>
      <w:pPr>
        <w:spacing w:line="360" w:lineRule="auto"/>
        <w:rPr>
          <w:rFonts w:ascii="宋体" w:hAnsi="宋体" w:cs="宋体"/>
          <w:b/>
          <w:bCs/>
          <w:color w:val="auto"/>
          <w:kern w:val="0"/>
          <w:szCs w:val="21"/>
        </w:rPr>
      </w:pPr>
      <w:r>
        <w:rPr>
          <w:rFonts w:hint="eastAsia" w:ascii="宋体" w:hAnsi="宋体" w:cs="宋体"/>
          <w:b/>
          <w:bCs/>
          <w:color w:val="auto"/>
          <w:kern w:val="0"/>
          <w:szCs w:val="21"/>
        </w:rPr>
        <w:t xml:space="preserve">  中小企业、残疾人福利性企业、监狱企业：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1</w:t>
      </w:r>
      <w:r>
        <w:rPr>
          <w:rFonts w:hint="eastAsia" w:ascii="宋体" w:hAnsi="宋体" w:cs="宋体"/>
          <w:color w:val="auto"/>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2</w:t>
      </w:r>
      <w:r>
        <w:rPr>
          <w:rFonts w:hint="eastAsia" w:ascii="宋体" w:hAnsi="宋体" w:cs="宋体"/>
          <w:color w:val="auto"/>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pPr>
        <w:autoSpaceDE w:val="0"/>
        <w:autoSpaceDN w:val="0"/>
        <w:adjustRightInd w:val="0"/>
        <w:spacing w:line="360" w:lineRule="auto"/>
        <w:ind w:firstLine="210" w:firstLineChars="100"/>
        <w:rPr>
          <w:rFonts w:ascii="Calibri" w:hAnsi="Calibri" w:eastAsia="Calibri"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）对小型和微型企业的投标价格给予6%扣除，用扣除后的价格参与评审。</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小企业（含小型、微型企业）应当同时符合以下条件：</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1）供应商为小企业，且符合中小企业划分标准；</w:t>
      </w:r>
    </w:p>
    <w:p>
      <w:pPr>
        <w:autoSpaceDE w:val="0"/>
        <w:autoSpaceDN w:val="0"/>
        <w:adjustRightInd w:val="0"/>
        <w:spacing w:line="360" w:lineRule="auto"/>
        <w:ind w:firstLine="210" w:firstLineChars="100"/>
        <w:rPr>
          <w:rFonts w:ascii="宋体" w:hAnsi="宋体" w:cs="宋体"/>
          <w:b/>
          <w:color w:val="auto"/>
          <w:kern w:val="0"/>
          <w:szCs w:val="21"/>
        </w:rPr>
      </w:pPr>
      <w:r>
        <w:rPr>
          <w:rFonts w:hint="eastAsia" w:ascii="宋体" w:hAnsi="宋体" w:cs="宋体"/>
          <w:color w:val="auto"/>
          <w:kern w:val="0"/>
          <w:szCs w:val="21"/>
          <w:lang w:val="zh-CN"/>
        </w:rPr>
        <w:t>2）提供本企业制造的货物、承担的工程或者服务，或者提供其他小企业制造的货物。如果提供的货物为大中型企业注册商标的货物，视同大中型企业。</w:t>
      </w:r>
    </w:p>
    <w:p>
      <w:pPr>
        <w:pStyle w:val="16"/>
        <w:spacing w:line="360" w:lineRule="auto"/>
        <w:ind w:firstLine="420" w:firstLineChars="200"/>
        <w:rPr>
          <w:rFonts w:hint="default" w:ascii="Times New Roman" w:hAnsi="Times New Roman" w:cs="Times New Roman" w:eastAsiaTheme="minorEastAsia"/>
          <w:color w:val="auto"/>
          <w:szCs w:val="21"/>
        </w:rPr>
      </w:pP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4、评标结束后，投标人可至</w:t>
      </w:r>
      <w:r>
        <w:rPr>
          <w:rFonts w:hint="default" w:ascii="Times New Roman" w:hAnsi="Times New Roman" w:cs="Times New Roman" w:eastAsiaTheme="minorEastAsia"/>
          <w:color w:val="auto"/>
          <w:sz w:val="21"/>
          <w:szCs w:val="21"/>
        </w:rPr>
        <w:t>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3"/>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Cs w:val="21"/>
        </w:rPr>
        <w:t>“招标公告”栏的“中标公示”中查看公示最终结果。</w:t>
      </w:r>
    </w:p>
    <w:p>
      <w:pPr>
        <w:pStyle w:val="5"/>
        <w:rPr>
          <w:rFonts w:hint="default" w:ascii="Times New Roman" w:hAnsi="Times New Roman" w:cs="Times New Roman" w:eastAsiaTheme="minorEastAsia"/>
          <w:color w:val="auto"/>
          <w:sz w:val="21"/>
          <w:szCs w:val="21"/>
        </w:rPr>
      </w:pPr>
      <w:bookmarkStart w:id="23" w:name="_Toc386980215"/>
      <w:bookmarkStart w:id="24" w:name="_Toc455914610"/>
      <w:bookmarkStart w:id="25" w:name="_Toc384844738"/>
      <w:r>
        <w:rPr>
          <w:rFonts w:hint="default" w:ascii="Times New Roman" w:hAnsi="Times New Roman" w:cs="Times New Roman" w:eastAsiaTheme="minorEastAsia"/>
          <w:color w:val="auto"/>
          <w:sz w:val="21"/>
          <w:szCs w:val="21"/>
        </w:rPr>
        <w:t>2.5投标保证金</w:t>
      </w:r>
      <w:bookmarkEnd w:id="23"/>
      <w:bookmarkEnd w:id="24"/>
      <w:bookmarkEnd w:id="25"/>
      <w:bookmarkStart w:id="26" w:name="_Toc386980216"/>
      <w:bookmarkStart w:id="27" w:name="_Toc384844739"/>
      <w:bookmarkStart w:id="28" w:name="_Toc455914611"/>
    </w:p>
    <w:p>
      <w:pPr>
        <w:spacing w:line="400" w:lineRule="exact"/>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无。</w:t>
      </w:r>
    </w:p>
    <w:p>
      <w:pPr>
        <w:pStyle w:val="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2.6投标有效期</w:t>
      </w:r>
      <w:bookmarkEnd w:id="26"/>
      <w:bookmarkEnd w:id="27"/>
      <w:bookmarkEnd w:id="28"/>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hint="default" w:ascii="Times New Roman" w:hAnsi="Times New Roman" w:cs="Times New Roman" w:eastAsiaTheme="minorEastAsia"/>
          <w:color w:val="auto"/>
          <w:sz w:val="21"/>
          <w:szCs w:val="21"/>
        </w:rPr>
      </w:pPr>
      <w:bookmarkStart w:id="29" w:name="_Toc455914612"/>
      <w:r>
        <w:rPr>
          <w:rFonts w:hint="default" w:ascii="Times New Roman" w:hAnsi="Times New Roman" w:cs="Times New Roman" w:eastAsiaTheme="minorEastAsia"/>
          <w:color w:val="auto"/>
          <w:sz w:val="21"/>
          <w:szCs w:val="21"/>
        </w:rPr>
        <w:t>2.7无效投标的情形</w:t>
      </w:r>
      <w:bookmarkEnd w:id="29"/>
    </w:p>
    <w:p>
      <w:pPr>
        <w:pStyle w:val="16"/>
        <w:spacing w:line="360" w:lineRule="auto"/>
        <w:ind w:firstLine="420" w:firstLineChars="200"/>
        <w:rPr>
          <w:rFonts w:hint="default" w:ascii="Times New Roman" w:hAnsi="Times New Roman" w:cs="Times New Roman" w:eastAsiaTheme="minorEastAsia"/>
          <w:color w:val="auto"/>
          <w:szCs w:val="21"/>
        </w:rPr>
      </w:pPr>
      <w:bookmarkStart w:id="30" w:name="_Toc455914613"/>
      <w:r>
        <w:rPr>
          <w:rFonts w:hint="default" w:ascii="Times New Roman" w:hAnsi="Times New Roman" w:cs="Times New Roman" w:eastAsiaTheme="minorEastAsia"/>
          <w:color w:val="auto"/>
          <w:szCs w:val="21"/>
        </w:rPr>
        <w:t>1、投标文件资格审查项中任意一项不响应；</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2、开标一览表、法人授权委托书提供信息不全或未盖公章或未手写签名；</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3</w:t>
      </w:r>
      <w:r>
        <w:rPr>
          <w:rFonts w:hint="default" w:ascii="Times New Roman" w:hAnsi="Times New Roman" w:cs="Times New Roman" w:eastAsiaTheme="minorEastAsia"/>
          <w:color w:val="auto"/>
          <w:szCs w:val="21"/>
        </w:rPr>
        <w:t>、投标文件附有招标人不能接受的条件；</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4</w:t>
      </w:r>
      <w:r>
        <w:rPr>
          <w:rFonts w:hint="default" w:ascii="Times New Roman" w:hAnsi="Times New Roman" w:cs="Times New Roman" w:eastAsiaTheme="minorEastAsia"/>
          <w:color w:val="auto"/>
          <w:szCs w:val="21"/>
        </w:rPr>
        <w:t>、不符合招标文件中规定的实质性要求（报价、技术要求、投标人资质要求）；</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5</w:t>
      </w:r>
      <w:r>
        <w:rPr>
          <w:rFonts w:hint="default" w:ascii="Times New Roman" w:hAnsi="Times New Roman" w:cs="Times New Roman" w:eastAsiaTheme="minorEastAsia"/>
          <w:color w:val="auto"/>
          <w:szCs w:val="21"/>
        </w:rPr>
        <w:t>、有三项及以上技术指标负偏离的；</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6</w:t>
      </w:r>
      <w:r>
        <w:rPr>
          <w:rFonts w:hint="default" w:ascii="Times New Roman" w:hAnsi="Times New Roman" w:cs="Times New Roman" w:eastAsiaTheme="minorEastAsia"/>
          <w:color w:val="auto"/>
          <w:szCs w:val="21"/>
        </w:rPr>
        <w:t>、不响应招标文件规定的付款方式；</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7</w:t>
      </w:r>
      <w:r>
        <w:rPr>
          <w:rFonts w:hint="default" w:ascii="Times New Roman" w:hAnsi="Times New Roman" w:cs="Times New Roman" w:eastAsiaTheme="minorEastAsia"/>
          <w:color w:val="auto"/>
          <w:szCs w:val="21"/>
        </w:rPr>
        <w:t>、有法律法规规定的其他违法行为。</w:t>
      </w:r>
    </w:p>
    <w:bookmarkEnd w:id="30"/>
    <w:p>
      <w:pPr>
        <w:pStyle w:val="5"/>
        <w:rPr>
          <w:rFonts w:hint="default" w:ascii="Times New Roman" w:hAnsi="Times New Roman" w:cs="Times New Roman" w:eastAsiaTheme="minorEastAsia"/>
          <w:color w:val="auto"/>
          <w:sz w:val="21"/>
          <w:szCs w:val="21"/>
        </w:rPr>
      </w:pPr>
      <w:bookmarkStart w:id="31" w:name="_Toc386980217"/>
      <w:bookmarkStart w:id="32" w:name="_Toc384844740"/>
      <w:bookmarkStart w:id="33" w:name="_Toc455914614"/>
      <w:r>
        <w:rPr>
          <w:rFonts w:hint="default" w:ascii="Times New Roman" w:hAnsi="Times New Roman" w:cs="Times New Roman" w:eastAsiaTheme="minorEastAsia"/>
          <w:color w:val="auto"/>
          <w:sz w:val="21"/>
          <w:szCs w:val="21"/>
        </w:rPr>
        <w:t>2.8合同</w:t>
      </w:r>
      <w:bookmarkEnd w:id="31"/>
      <w:bookmarkEnd w:id="32"/>
      <w:r>
        <w:rPr>
          <w:rFonts w:hint="default" w:ascii="Times New Roman" w:hAnsi="Times New Roman" w:cs="Times New Roman" w:eastAsiaTheme="minorEastAsia"/>
          <w:color w:val="auto"/>
          <w:sz w:val="21"/>
          <w:szCs w:val="21"/>
        </w:rPr>
        <w:t>签订</w:t>
      </w:r>
      <w:bookmarkEnd w:id="33"/>
    </w:p>
    <w:p>
      <w:pPr>
        <w:pStyle w:val="16"/>
        <w:spacing w:line="360" w:lineRule="auto"/>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color w:val="auto"/>
          <w:szCs w:val="21"/>
        </w:rPr>
        <w:t>1、签订合同前，</w:t>
      </w:r>
      <w:r>
        <w:rPr>
          <w:rFonts w:hint="default" w:ascii="Times New Roman" w:hAnsi="Times New Roman" w:cs="Times New Roman" w:eastAsiaTheme="minorEastAsia"/>
          <w:color w:val="auto"/>
          <w:kern w:val="0"/>
          <w:szCs w:val="21"/>
        </w:rPr>
        <w:t>招标人</w:t>
      </w:r>
      <w:r>
        <w:rPr>
          <w:rFonts w:hint="default" w:ascii="Times New Roman" w:hAnsi="Times New Roman" w:cs="Times New Roman" w:eastAsiaTheme="minorEastAsia"/>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3、签订合同应以招标文件和投标承诺为依据。</w:t>
      </w:r>
    </w:p>
    <w:p>
      <w:pPr>
        <w:pStyle w:val="5"/>
        <w:rPr>
          <w:rFonts w:hint="default" w:ascii="Times New Roman" w:hAnsi="Times New Roman" w:cs="Times New Roman" w:eastAsiaTheme="minorEastAsia"/>
          <w:color w:val="auto"/>
          <w:sz w:val="21"/>
          <w:szCs w:val="21"/>
        </w:rPr>
      </w:pPr>
      <w:bookmarkStart w:id="34" w:name="_Toc384844741"/>
      <w:bookmarkStart w:id="35" w:name="_Toc455914616"/>
      <w:bookmarkStart w:id="36" w:name="_Toc386980218"/>
      <w:r>
        <w:rPr>
          <w:rFonts w:hint="default" w:ascii="Times New Roman" w:hAnsi="Times New Roman" w:cs="Times New Roman" w:eastAsiaTheme="minorEastAsia"/>
          <w:color w:val="auto"/>
          <w:sz w:val="21"/>
          <w:szCs w:val="21"/>
        </w:rPr>
        <w:t>2.9付款方式</w:t>
      </w:r>
      <w:bookmarkEnd w:id="34"/>
      <w:bookmarkEnd w:id="35"/>
      <w:bookmarkEnd w:id="36"/>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中标人所供产品必须保证为正规渠道供货的正宗原厂新品，到货并安装调试完毕后，如验收合格，采购人将在合同约定时间内付清合同价款（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hint="eastAsia" w:ascii="Times New Roman" w:hAnsi="Times New Roman"/>
          <w:color w:val="auto"/>
          <w:szCs w:val="21"/>
        </w:rPr>
      </w:pPr>
      <w:bookmarkStart w:id="37" w:name="_Toc455914617"/>
      <w:r>
        <w:rPr>
          <w:rFonts w:hint="eastAsia" w:ascii="Times New Roman" w:hAnsi="Times New Roman"/>
          <w:color w:val="auto"/>
          <w:szCs w:val="21"/>
        </w:rPr>
        <w:t>2、本项目</w:t>
      </w:r>
      <w:r>
        <w:rPr>
          <w:rFonts w:hint="eastAsia" w:ascii="Times New Roman" w:hAnsi="Times New Roman"/>
          <w:color w:val="auto"/>
          <w:szCs w:val="21"/>
          <w:lang w:val="en-US" w:eastAsia="zh-CN"/>
        </w:rPr>
        <w:t>付款</w:t>
      </w:r>
      <w:r>
        <w:rPr>
          <w:rFonts w:hint="eastAsia" w:ascii="Times New Roman" w:hAnsi="Times New Roman"/>
          <w:color w:val="auto"/>
          <w:szCs w:val="21"/>
        </w:rPr>
        <w:t>分</w:t>
      </w:r>
      <w:r>
        <w:rPr>
          <w:rFonts w:hint="eastAsia" w:ascii="Times New Roman" w:hAnsi="Times New Roman"/>
          <w:color w:val="auto"/>
          <w:szCs w:val="21"/>
          <w:lang w:val="en-US" w:eastAsia="zh-CN"/>
        </w:rPr>
        <w:t>两</w:t>
      </w:r>
      <w:r>
        <w:rPr>
          <w:rFonts w:hint="eastAsia" w:ascii="Times New Roman" w:hAnsi="Times New Roman"/>
          <w:color w:val="auto"/>
          <w:szCs w:val="21"/>
        </w:rPr>
        <w:t>个阶段实施。</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第一次付款：在</w:t>
      </w:r>
      <w:r>
        <w:rPr>
          <w:rFonts w:hint="eastAsia" w:ascii="Times New Roman" w:hAnsi="Times New Roman"/>
          <w:color w:val="auto"/>
          <w:szCs w:val="21"/>
          <w:lang w:val="en-US" w:eastAsia="zh-CN"/>
        </w:rPr>
        <w:t>项目</w:t>
      </w:r>
      <w:r>
        <w:rPr>
          <w:rFonts w:hint="eastAsia" w:ascii="Times New Roman" w:hAnsi="Times New Roman"/>
          <w:color w:val="auto"/>
          <w:szCs w:val="21"/>
        </w:rPr>
        <w:t>完成最终检测并且通过由</w:t>
      </w:r>
      <w:r>
        <w:rPr>
          <w:rFonts w:hint="eastAsia" w:ascii="Times New Roman" w:hAnsi="Times New Roman"/>
          <w:color w:val="auto"/>
          <w:szCs w:val="21"/>
          <w:lang w:val="en-US" w:eastAsia="zh-CN"/>
        </w:rPr>
        <w:t>甲方</w:t>
      </w:r>
      <w:r>
        <w:rPr>
          <w:rFonts w:hint="eastAsia" w:ascii="Times New Roman" w:hAnsi="Times New Roman"/>
          <w:color w:val="auto"/>
          <w:szCs w:val="21"/>
        </w:rPr>
        <w:t>组织的验收</w:t>
      </w:r>
      <w:r>
        <w:rPr>
          <w:rFonts w:hint="eastAsia" w:ascii="Times New Roman" w:hAnsi="Times New Roman"/>
          <w:color w:val="auto"/>
          <w:szCs w:val="21"/>
          <w:lang w:val="en-US" w:eastAsia="zh-CN"/>
        </w:rPr>
        <w:t>后15</w:t>
      </w:r>
      <w:r>
        <w:rPr>
          <w:rFonts w:hint="eastAsia" w:ascii="Times New Roman" w:hAnsi="Times New Roman"/>
          <w:color w:val="auto"/>
          <w:szCs w:val="21"/>
        </w:rPr>
        <w:t>个工作日内</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甲方</w:t>
      </w:r>
      <w:r>
        <w:rPr>
          <w:rFonts w:hint="eastAsia" w:ascii="Times New Roman" w:hAnsi="Times New Roman"/>
          <w:color w:val="auto"/>
          <w:szCs w:val="21"/>
        </w:rPr>
        <w:t>向乙方支付合同总金额</w:t>
      </w:r>
      <w:r>
        <w:rPr>
          <w:rFonts w:hint="eastAsia" w:ascii="Times New Roman" w:hAnsi="Times New Roman"/>
          <w:color w:val="auto"/>
          <w:szCs w:val="21"/>
          <w:lang w:val="en-US" w:eastAsia="zh-CN"/>
        </w:rPr>
        <w:t>95</w:t>
      </w:r>
      <w:r>
        <w:rPr>
          <w:rFonts w:hint="eastAsia" w:ascii="Times New Roman" w:hAnsi="Times New Roman"/>
          <w:color w:val="auto"/>
          <w:szCs w:val="21"/>
        </w:rPr>
        <w:t>%的款项；</w:t>
      </w:r>
    </w:p>
    <w:p>
      <w:pPr>
        <w:pStyle w:val="16"/>
        <w:spacing w:line="360" w:lineRule="auto"/>
        <w:ind w:firstLine="420" w:firstLineChars="200"/>
        <w:rPr>
          <w:rFonts w:hint="eastAsia" w:ascii="Times New Roman" w:hAnsi="Times New Roman"/>
          <w:color w:val="auto"/>
          <w:szCs w:val="21"/>
          <w:lang w:eastAsia="zh-CN"/>
        </w:rPr>
      </w:pPr>
      <w:r>
        <w:rPr>
          <w:rFonts w:hint="eastAsia" w:ascii="Times New Roman" w:hAnsi="Times New Roman"/>
          <w:color w:val="auto"/>
          <w:szCs w:val="21"/>
        </w:rPr>
        <w:t>第二次付款：</w:t>
      </w:r>
      <w:r>
        <w:rPr>
          <w:rFonts w:hint="eastAsia" w:ascii="Times New Roman" w:hAnsi="Times New Roman"/>
          <w:color w:val="auto"/>
          <w:szCs w:val="21"/>
          <w:lang w:val="en-US" w:eastAsia="zh-CN"/>
        </w:rPr>
        <w:t>项目维护期满一年后的15个工作日内，甲方向乙方支付合同总金额5%的款项。</w:t>
      </w:r>
    </w:p>
    <w:p>
      <w:pPr>
        <w:pStyle w:val="5"/>
        <w:jc w:val="center"/>
        <w:rPr>
          <w:rFonts w:hint="default" w:ascii="楷体" w:hAnsi="楷体" w:eastAsia="楷体" w:cs="楷体"/>
          <w:color w:val="auto"/>
          <w:sz w:val="44"/>
        </w:rPr>
      </w:pPr>
    </w:p>
    <w:p>
      <w:pPr>
        <w:pStyle w:val="5"/>
        <w:jc w:val="center"/>
        <w:rPr>
          <w:rFonts w:hint="default" w:ascii="楷体" w:hAnsi="楷体" w:eastAsia="楷体" w:cs="楷体"/>
          <w:color w:val="auto"/>
          <w:sz w:val="44"/>
        </w:rPr>
      </w:pPr>
      <w:r>
        <w:rPr>
          <w:rFonts w:hint="default" w:ascii="楷体" w:hAnsi="楷体" w:eastAsia="楷体" w:cs="楷体"/>
          <w:color w:val="auto"/>
          <w:sz w:val="44"/>
        </w:rPr>
        <w:t>第三部分  项目需求</w:t>
      </w:r>
      <w:bookmarkEnd w:id="37"/>
    </w:p>
    <w:p>
      <w:pPr>
        <w:pStyle w:val="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 xml:space="preserve">3.1 </w:t>
      </w:r>
      <w:r>
        <w:rPr>
          <w:rFonts w:hint="default" w:ascii="Times New Roman" w:hAnsi="Times New Roman" w:cs="Times New Roman" w:eastAsiaTheme="minorEastAsia"/>
          <w:color w:val="auto"/>
          <w:sz w:val="21"/>
          <w:szCs w:val="21"/>
        </w:rPr>
        <w:t>服务范围</w:t>
      </w:r>
    </w:p>
    <w:p>
      <w:pPr>
        <w:spacing w:line="520" w:lineRule="exact"/>
        <w:ind w:firstLine="420" w:firstLineChars="200"/>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江苏开放大学开放式课程平台以课程为中心，总的设计理念是全开放、模块化、嵌入式，一体化设计。本项目的目标是采购江苏开放大学开放式课程平台及相关联系统的开发服务与系统运维服务。开发运维服务范围包括应用系统及客户端软件，不包括硬件平台及基础网络环境。</w:t>
      </w:r>
    </w:p>
    <w:p>
      <w:pPr>
        <w:spacing w:line="520" w:lineRule="exact"/>
        <w:ind w:firstLine="420" w:firstLineChars="200"/>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在此项目中实现：</w:t>
      </w:r>
    </w:p>
    <w:p>
      <w:pPr>
        <w:spacing w:line="5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①完成</w:t>
      </w:r>
      <w:r>
        <w:rPr>
          <w:rFonts w:hint="default" w:ascii="Times New Roman" w:hAnsi="Times New Roman" w:cs="Times New Roman" w:eastAsiaTheme="minorEastAsia"/>
          <w:color w:val="auto"/>
          <w:sz w:val="21"/>
          <w:szCs w:val="21"/>
          <w:lang w:val="en-US" w:eastAsia="zh-CN"/>
        </w:rPr>
        <w:t>教务管理</w:t>
      </w:r>
      <w:r>
        <w:rPr>
          <w:rFonts w:hint="default" w:ascii="Times New Roman" w:hAnsi="Times New Roman" w:cs="Times New Roman" w:eastAsiaTheme="minorEastAsia"/>
          <w:color w:val="auto"/>
          <w:sz w:val="21"/>
          <w:szCs w:val="21"/>
        </w:rPr>
        <w:t>流程</w:t>
      </w:r>
      <w:r>
        <w:rPr>
          <w:rFonts w:hint="default" w:ascii="Times New Roman" w:hAnsi="Times New Roman" w:cs="Times New Roman" w:eastAsiaTheme="minorEastAsia"/>
          <w:color w:val="auto"/>
          <w:sz w:val="21"/>
          <w:szCs w:val="21"/>
          <w:lang w:val="en-US" w:eastAsia="zh-CN"/>
        </w:rPr>
        <w:t>的</w:t>
      </w:r>
      <w:r>
        <w:rPr>
          <w:rFonts w:hint="default" w:ascii="Times New Roman" w:hAnsi="Times New Roman" w:cs="Times New Roman" w:eastAsiaTheme="minorEastAsia"/>
          <w:color w:val="auto"/>
          <w:sz w:val="21"/>
          <w:szCs w:val="21"/>
        </w:rPr>
        <w:t>一体化开发运维服务工作；</w:t>
      </w:r>
    </w:p>
    <w:p>
      <w:pPr>
        <w:spacing w:line="5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②完成教学过程的一体化开发运维服务工作；</w:t>
      </w:r>
    </w:p>
    <w:p>
      <w:pPr>
        <w:spacing w:line="520" w:lineRule="exact"/>
        <w:ind w:firstLine="420" w:firstLineChars="2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③</w:t>
      </w:r>
      <w:r>
        <w:rPr>
          <w:rFonts w:hint="default" w:ascii="Times New Roman" w:hAnsi="Times New Roman" w:cs="Times New Roman" w:eastAsiaTheme="minorEastAsia"/>
          <w:color w:val="auto"/>
          <w:sz w:val="21"/>
          <w:szCs w:val="21"/>
          <w:lang w:val="en-US" w:eastAsia="zh-CN"/>
        </w:rPr>
        <w:t>完成教学教务业务数据的梳理和迁移工作；</w:t>
      </w:r>
    </w:p>
    <w:p>
      <w:pPr>
        <w:spacing w:line="520" w:lineRule="exact"/>
        <w:ind w:firstLine="420" w:firstLineChars="200"/>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color w:val="auto"/>
          <w:sz w:val="21"/>
          <w:szCs w:val="21"/>
        </w:rPr>
        <w:t>④</w:t>
      </w:r>
      <w:r>
        <w:rPr>
          <w:rFonts w:hint="default" w:ascii="Times New Roman" w:hAnsi="Times New Roman" w:cs="Times New Roman" w:eastAsiaTheme="minorEastAsia"/>
          <w:color w:val="auto"/>
          <w:sz w:val="21"/>
          <w:szCs w:val="21"/>
          <w:lang w:val="en-US" w:eastAsia="zh-CN"/>
        </w:rPr>
        <w:t>完成教学教务平台运营、培训及支持服务工作。</w:t>
      </w:r>
    </w:p>
    <w:p>
      <w:pPr>
        <w:pStyle w:val="5"/>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3.2 平台功能需求</w:t>
      </w:r>
    </w:p>
    <w:tbl>
      <w:tblPr>
        <w:tblStyle w:val="28"/>
        <w:tblpPr w:leftFromText="180" w:rightFromText="180" w:vertAnchor="text" w:horzAnchor="page" w:tblpX="1106" w:tblpY="63"/>
        <w:tblOverlap w:val="never"/>
        <w:tblW w:w="9956" w:type="dxa"/>
        <w:tblInd w:w="0" w:type="dxa"/>
        <w:tblLayout w:type="fixed"/>
        <w:tblCellMar>
          <w:top w:w="0" w:type="dxa"/>
          <w:left w:w="108" w:type="dxa"/>
          <w:bottom w:w="0" w:type="dxa"/>
          <w:right w:w="108" w:type="dxa"/>
        </w:tblCellMar>
      </w:tblPr>
      <w:tblGrid>
        <w:gridCol w:w="787"/>
        <w:gridCol w:w="1550"/>
        <w:gridCol w:w="1475"/>
        <w:gridCol w:w="6144"/>
      </w:tblGrid>
      <w:tr>
        <w:tblPrEx>
          <w:tblCellMar>
            <w:top w:w="0" w:type="dxa"/>
            <w:left w:w="108" w:type="dxa"/>
            <w:bottom w:w="0" w:type="dxa"/>
            <w:right w:w="108" w:type="dxa"/>
          </w:tblCellMar>
        </w:tblPrEx>
        <w:trPr>
          <w:trHeight w:val="690" w:hRule="atLeast"/>
        </w:trPr>
        <w:tc>
          <w:tcPr>
            <w:tcW w:w="7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序号</w:t>
            </w:r>
          </w:p>
        </w:tc>
        <w:tc>
          <w:tcPr>
            <w:tcW w:w="1550"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服务名称</w:t>
            </w: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项目内容</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采购要求</w:t>
            </w:r>
          </w:p>
        </w:tc>
      </w:tr>
      <w:tr>
        <w:tblPrEx>
          <w:tblCellMar>
            <w:top w:w="0" w:type="dxa"/>
            <w:left w:w="108" w:type="dxa"/>
            <w:bottom w:w="0" w:type="dxa"/>
            <w:right w:w="108" w:type="dxa"/>
          </w:tblCellMar>
        </w:tblPrEx>
        <w:trPr>
          <w:trHeight w:val="333" w:hRule="atLeast"/>
        </w:trPr>
        <w:tc>
          <w:tcPr>
            <w:tcW w:w="787" w:type="dxa"/>
            <w:vMerge w:val="restart"/>
            <w:tcBorders>
              <w:top w:val="nil"/>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1</w:t>
            </w:r>
          </w:p>
        </w:tc>
        <w:tc>
          <w:tcPr>
            <w:tcW w:w="1550" w:type="dxa"/>
            <w:vMerge w:val="restart"/>
            <w:tcBorders>
              <w:top w:val="nil"/>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教务管理流程一体化开发运维服务</w:t>
            </w:r>
          </w:p>
        </w:tc>
        <w:tc>
          <w:tcPr>
            <w:tcW w:w="1475" w:type="dxa"/>
            <w:tcBorders>
              <w:top w:val="nil"/>
              <w:left w:val="nil"/>
              <w:bottom w:val="single" w:color="auto" w:sz="4"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招生管理</w:t>
            </w:r>
          </w:p>
        </w:tc>
        <w:tc>
          <w:tcPr>
            <w:tcW w:w="6144" w:type="dxa"/>
            <w:tcBorders>
              <w:top w:val="nil"/>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提供设置学习批次、设置招生批次、录入报名表、审核报名表等招生管理相关业务流程。</w:t>
            </w:r>
          </w:p>
        </w:tc>
      </w:tr>
      <w:tr>
        <w:tblPrEx>
          <w:tblCellMar>
            <w:top w:w="0" w:type="dxa"/>
            <w:left w:w="108" w:type="dxa"/>
            <w:bottom w:w="0" w:type="dxa"/>
            <w:right w:w="108" w:type="dxa"/>
          </w:tblCellMar>
        </w:tblPrEx>
        <w:trPr>
          <w:trHeight w:val="380" w:hRule="atLeast"/>
        </w:trPr>
        <w:tc>
          <w:tcPr>
            <w:tcW w:w="787" w:type="dxa"/>
            <w:vMerge w:val="continue"/>
            <w:tcBorders>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p>
        </w:tc>
        <w:tc>
          <w:tcPr>
            <w:tcW w:w="1550" w:type="dxa"/>
            <w:vMerge w:val="continue"/>
            <w:tcBorders>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p>
        </w:tc>
        <w:tc>
          <w:tcPr>
            <w:tcW w:w="1475" w:type="dxa"/>
            <w:tcBorders>
              <w:top w:val="nil"/>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学科管理</w:t>
            </w:r>
          </w:p>
        </w:tc>
        <w:tc>
          <w:tcPr>
            <w:tcW w:w="6144" w:type="dxa"/>
            <w:tcBorders>
              <w:top w:val="nil"/>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提供设置学科分类、设置课程、查看课程版本、审核考核要求、培养方案管理等学科管理相关业务流程。</w:t>
            </w:r>
          </w:p>
        </w:tc>
      </w:tr>
      <w:tr>
        <w:tblPrEx>
          <w:tblCellMar>
            <w:top w:w="0" w:type="dxa"/>
            <w:left w:w="108" w:type="dxa"/>
            <w:bottom w:w="0" w:type="dxa"/>
            <w:right w:w="108" w:type="dxa"/>
          </w:tblCellMar>
        </w:tblPrEx>
        <w:trPr>
          <w:trHeight w:val="20" w:hRule="atLeast"/>
        </w:trPr>
        <w:tc>
          <w:tcPr>
            <w:tcW w:w="787" w:type="dxa"/>
            <w:vMerge w:val="continue"/>
            <w:tcBorders>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p>
        </w:tc>
        <w:tc>
          <w:tcPr>
            <w:tcW w:w="1550" w:type="dxa"/>
            <w:vMerge w:val="continue"/>
            <w:tcBorders>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p>
        </w:tc>
        <w:tc>
          <w:tcPr>
            <w:tcW w:w="1475" w:type="dxa"/>
            <w:tcBorders>
              <w:top w:val="nil"/>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教务管理</w:t>
            </w:r>
          </w:p>
        </w:tc>
        <w:tc>
          <w:tcPr>
            <w:tcW w:w="6144" w:type="dxa"/>
            <w:tcBorders>
              <w:top w:val="nil"/>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提供教师管理、课程教师团队管理、设置选课批次、退课控制、考试次数设置、代学生选课管理、班级管理、退课申请与审核等教务管理相关业务流程。</w:t>
            </w:r>
          </w:p>
        </w:tc>
      </w:tr>
      <w:tr>
        <w:tblPrEx>
          <w:tblCellMar>
            <w:top w:w="0" w:type="dxa"/>
            <w:left w:w="108" w:type="dxa"/>
            <w:bottom w:w="0" w:type="dxa"/>
            <w:right w:w="108" w:type="dxa"/>
          </w:tblCellMar>
        </w:tblPrEx>
        <w:trPr>
          <w:trHeight w:val="20" w:hRule="atLeast"/>
        </w:trPr>
        <w:tc>
          <w:tcPr>
            <w:tcW w:w="787" w:type="dxa"/>
            <w:vMerge w:val="continue"/>
            <w:tcBorders>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p>
        </w:tc>
        <w:tc>
          <w:tcPr>
            <w:tcW w:w="1550" w:type="dxa"/>
            <w:vMerge w:val="continue"/>
            <w:tcBorders>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bidi="ar"/>
              </w:rPr>
            </w:pP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财务管理</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提供财务管理相关功能，包括收费标准设置、优惠费率设置、缴费类型设置、查询汇款单、查询缴费单、查询退费、审核汇款单、发票信息导入导出、发票作废、批量缴费汇款等财务管理相关业务流程。</w:t>
            </w:r>
          </w:p>
        </w:tc>
      </w:tr>
      <w:tr>
        <w:tblPrEx>
          <w:tblCellMar>
            <w:top w:w="0" w:type="dxa"/>
            <w:left w:w="108" w:type="dxa"/>
            <w:bottom w:w="0" w:type="dxa"/>
            <w:right w:w="108" w:type="dxa"/>
          </w:tblCellMar>
        </w:tblPrEx>
        <w:trPr>
          <w:trHeight w:val="20" w:hRule="atLeast"/>
        </w:trPr>
        <w:tc>
          <w:tcPr>
            <w:tcW w:w="787" w:type="dxa"/>
            <w:vMerge w:val="restart"/>
            <w:tcBorders>
              <w:top w:val="single" w:color="auto" w:sz="4" w:space="0"/>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2</w:t>
            </w:r>
          </w:p>
        </w:tc>
        <w:tc>
          <w:tcPr>
            <w:tcW w:w="1550" w:type="dxa"/>
            <w:vMerge w:val="restart"/>
            <w:tcBorders>
              <w:top w:val="single" w:color="auto" w:sz="4" w:space="0"/>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教学过程一体化开发运维服务</w:t>
            </w: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教学管理</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both"/>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提供课程超市、课程设计、发布和批改作业、发布和管理话题讨论、发布公告、文件管理；设置课程信息、开课时间、考核要求、参考教材、教师团队、班级管理；查看学习进度、学习成绩、学习分析、教师工作量。</w:t>
            </w:r>
          </w:p>
          <w:p>
            <w:pPr>
              <w:spacing w:line="360" w:lineRule="auto"/>
              <w:rPr>
                <w:rFonts w:hint="default" w:ascii="Times New Roman" w:hAnsi="Times New Roman" w:cs="Times New Roman" w:eastAsiaTheme="minorEastAsia"/>
                <w:color w:val="auto"/>
                <w:kern w:val="0"/>
                <w:sz w:val="21"/>
                <w:szCs w:val="21"/>
                <w:lang w:bidi="ar"/>
              </w:rPr>
            </w:pPr>
          </w:p>
        </w:tc>
      </w:tr>
      <w:tr>
        <w:tblPrEx>
          <w:tblCellMar>
            <w:top w:w="0" w:type="dxa"/>
            <w:left w:w="108" w:type="dxa"/>
            <w:bottom w:w="0" w:type="dxa"/>
            <w:right w:w="108" w:type="dxa"/>
          </w:tblCellMar>
        </w:tblPrEx>
        <w:trPr>
          <w:trHeight w:val="20" w:hRule="atLeast"/>
        </w:trPr>
        <w:tc>
          <w:tcPr>
            <w:tcW w:w="787" w:type="dxa"/>
            <w:vMerge w:val="continue"/>
            <w:tcBorders>
              <w:left w:val="single" w:color="auto" w:sz="8" w:space="0"/>
              <w:bottom w:val="single" w:color="auto" w:sz="4"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550" w:type="dxa"/>
            <w:vMerge w:val="continue"/>
            <w:tcBorders>
              <w:left w:val="nil"/>
              <w:bottom w:val="single" w:color="auto" w:sz="4"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学习过程</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val="en-US" w:eastAsia="zh-CN" w:bidi="ar"/>
              </w:rPr>
              <w:t>课程学习、完成作业、查看学习进度、查看培养方案、查看成绩；申请学分转换、申请学籍异动、申请退课、申请毕业和学位等教学管理相关业务流程。</w:t>
            </w:r>
          </w:p>
        </w:tc>
      </w:tr>
      <w:tr>
        <w:tblPrEx>
          <w:tblCellMar>
            <w:top w:w="0" w:type="dxa"/>
            <w:left w:w="108" w:type="dxa"/>
            <w:bottom w:w="0" w:type="dxa"/>
            <w:right w:w="108" w:type="dxa"/>
          </w:tblCellMar>
        </w:tblPrEx>
        <w:trPr>
          <w:trHeight w:val="690" w:hRule="atLeast"/>
        </w:trPr>
        <w:tc>
          <w:tcPr>
            <w:tcW w:w="787" w:type="dxa"/>
            <w:vMerge w:val="restart"/>
            <w:tcBorders>
              <w:top w:val="single" w:color="auto" w:sz="4" w:space="0"/>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3</w:t>
            </w:r>
          </w:p>
        </w:tc>
        <w:tc>
          <w:tcPr>
            <w:tcW w:w="1550" w:type="dxa"/>
            <w:vMerge w:val="restart"/>
            <w:tcBorders>
              <w:top w:val="single" w:color="auto" w:sz="4" w:space="0"/>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sz w:val="21"/>
                <w:szCs w:val="21"/>
                <w:lang w:val="en-US" w:eastAsia="zh-CN"/>
              </w:rPr>
              <w:t>教学教务业务数据的梳理和迁移工作</w:t>
            </w: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迁移准备</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梳理、明确基础数据和业务数据迁移范围；核实所迁数据业务完整性、关联性；明确所迁移数据数据库中存储位置；</w:t>
            </w:r>
          </w:p>
        </w:tc>
      </w:tr>
      <w:tr>
        <w:tblPrEx>
          <w:tblCellMar>
            <w:top w:w="0" w:type="dxa"/>
            <w:left w:w="108" w:type="dxa"/>
            <w:bottom w:w="0" w:type="dxa"/>
            <w:right w:w="108" w:type="dxa"/>
          </w:tblCellMar>
        </w:tblPrEx>
        <w:trPr>
          <w:trHeight w:val="20" w:hRule="atLeast"/>
        </w:trPr>
        <w:tc>
          <w:tcPr>
            <w:tcW w:w="787" w:type="dxa"/>
            <w:vMerge w:val="continue"/>
            <w:tcBorders>
              <w:left w:val="single" w:color="auto" w:sz="8" w:space="0"/>
              <w:bottom w:val="single" w:color="auto" w:sz="4"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550" w:type="dxa"/>
            <w:vMerge w:val="continue"/>
            <w:tcBorders>
              <w:left w:val="nil"/>
              <w:bottom w:val="single" w:color="auto" w:sz="4"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数据迁移</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实施整体数据及本地资源迁移；业务前台核实数据迁移的正确性、完整性；信息系统等保备案和梳理工作。</w:t>
            </w:r>
          </w:p>
        </w:tc>
      </w:tr>
      <w:tr>
        <w:tblPrEx>
          <w:tblCellMar>
            <w:top w:w="0" w:type="dxa"/>
            <w:left w:w="108" w:type="dxa"/>
            <w:bottom w:w="0" w:type="dxa"/>
            <w:right w:w="108" w:type="dxa"/>
          </w:tblCellMar>
        </w:tblPrEx>
        <w:trPr>
          <w:trHeight w:val="20" w:hRule="atLeast"/>
        </w:trPr>
        <w:tc>
          <w:tcPr>
            <w:tcW w:w="787" w:type="dxa"/>
            <w:vMerge w:val="restart"/>
            <w:tcBorders>
              <w:top w:val="single" w:color="auto" w:sz="4" w:space="0"/>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4</w:t>
            </w:r>
          </w:p>
        </w:tc>
        <w:tc>
          <w:tcPr>
            <w:tcW w:w="1550" w:type="dxa"/>
            <w:vMerge w:val="restart"/>
            <w:tcBorders>
              <w:top w:val="single" w:color="auto" w:sz="4" w:space="0"/>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教学教务平台运营、培训及支持服务工作</w:t>
            </w: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常规运营工作</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撰写和更新操作手册、更新说明；对管理人员和教师进行业务培训和讲解；</w:t>
            </w:r>
          </w:p>
        </w:tc>
      </w:tr>
      <w:tr>
        <w:tblPrEx>
          <w:tblCellMar>
            <w:top w:w="0" w:type="dxa"/>
            <w:left w:w="108" w:type="dxa"/>
            <w:bottom w:w="0" w:type="dxa"/>
            <w:right w:w="108" w:type="dxa"/>
          </w:tblCellMar>
        </w:tblPrEx>
        <w:trPr>
          <w:trHeight w:val="20" w:hRule="atLeast"/>
        </w:trPr>
        <w:tc>
          <w:tcPr>
            <w:tcW w:w="787" w:type="dxa"/>
            <w:vMerge w:val="continue"/>
            <w:tcBorders>
              <w:left w:val="single" w:color="auto" w:sz="8"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550" w:type="dxa"/>
            <w:vMerge w:val="continue"/>
            <w:tcBorders>
              <w:left w:val="nil"/>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业务支持</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在招生期、选课缴费期、开课期、考试期等教学管理周期内分别拟定相应支持方案，推动各项业务顺利开展；收集、整理内外部的反馈信息，筛选后形成产品改进建议。</w:t>
            </w:r>
          </w:p>
        </w:tc>
      </w:tr>
      <w:tr>
        <w:tblPrEx>
          <w:tblCellMar>
            <w:top w:w="0" w:type="dxa"/>
            <w:left w:w="108" w:type="dxa"/>
            <w:bottom w:w="0" w:type="dxa"/>
            <w:right w:w="108" w:type="dxa"/>
          </w:tblCellMar>
        </w:tblPrEx>
        <w:trPr>
          <w:trHeight w:val="20" w:hRule="atLeast"/>
        </w:trPr>
        <w:tc>
          <w:tcPr>
            <w:tcW w:w="787" w:type="dxa"/>
            <w:vMerge w:val="continue"/>
            <w:tcBorders>
              <w:left w:val="single" w:color="auto" w:sz="8" w:space="0"/>
              <w:bottom w:val="single" w:color="auto" w:sz="4"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550" w:type="dxa"/>
            <w:vMerge w:val="continue"/>
            <w:tcBorders>
              <w:left w:val="nil"/>
              <w:bottom w:val="single" w:color="auto" w:sz="4" w:space="0"/>
              <w:right w:val="single" w:color="auto" w:sz="8" w:space="0"/>
            </w:tcBorders>
            <w:shd w:val="clear" w:color="auto" w:fill="auto"/>
            <w:vAlign w:val="center"/>
          </w:tcPr>
          <w:p>
            <w:pPr>
              <w:spacing w:line="360" w:lineRule="exact"/>
              <w:jc w:val="center"/>
              <w:rPr>
                <w:rFonts w:hint="default" w:ascii="Times New Roman" w:hAnsi="Times New Roman" w:cs="Times New Roman" w:eastAsiaTheme="minorEastAsia"/>
                <w:color w:val="auto"/>
                <w:kern w:val="0"/>
                <w:sz w:val="21"/>
                <w:szCs w:val="21"/>
                <w:lang w:val="en-US" w:eastAsia="zh-CN" w:bidi="ar"/>
              </w:rPr>
            </w:pPr>
          </w:p>
        </w:tc>
        <w:tc>
          <w:tcPr>
            <w:tcW w:w="1475"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客户服务</w:t>
            </w:r>
          </w:p>
        </w:tc>
        <w:tc>
          <w:tcPr>
            <w:tcW w:w="6144"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日常完成QQ群客服与线下咨询及服务工作；对用户反馈的平台问题进行相应的记录并及时反馈和处理；远程维护服务：通过远程方式对用户环境下的合同软件进行调试；</w:t>
            </w:r>
          </w:p>
        </w:tc>
      </w:tr>
    </w:tbl>
    <w:p>
      <w:pP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注：中标后，要求立即按照上表服务内容开展</w:t>
      </w:r>
      <w:r>
        <w:rPr>
          <w:rFonts w:hint="default" w:ascii="Times New Roman" w:hAnsi="Times New Roman" w:cs="Times New Roman" w:eastAsiaTheme="minorEastAsia"/>
          <w:color w:val="auto"/>
          <w:kern w:val="0"/>
          <w:sz w:val="21"/>
          <w:szCs w:val="21"/>
          <w:lang w:val="en-US" w:eastAsia="zh-CN" w:bidi="ar"/>
        </w:rPr>
        <w:t>开发运维</w:t>
      </w:r>
      <w:r>
        <w:rPr>
          <w:rFonts w:hint="default" w:ascii="Times New Roman" w:hAnsi="Times New Roman" w:cs="Times New Roman" w:eastAsiaTheme="minorEastAsia"/>
          <w:color w:val="auto"/>
          <w:kern w:val="0"/>
          <w:sz w:val="21"/>
          <w:szCs w:val="21"/>
          <w:lang w:bidi="ar"/>
        </w:rPr>
        <w:t>服务。</w:t>
      </w:r>
    </w:p>
    <w:p>
      <w:pPr>
        <w:widowControl/>
        <w:jc w:val="left"/>
        <w:rPr>
          <w:rFonts w:hint="default" w:ascii="Times New Roman" w:hAnsi="Times New Roman" w:cs="Times New Roman" w:eastAsiaTheme="minorEastAsia"/>
          <w:color w:val="auto"/>
          <w:kern w:val="0"/>
          <w:sz w:val="21"/>
          <w:szCs w:val="21"/>
          <w:lang w:bidi="ar"/>
        </w:rPr>
      </w:pPr>
    </w:p>
    <w:p>
      <w:pPr>
        <w:spacing w:line="360" w:lineRule="auto"/>
        <w:ind w:firstLine="42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根据江苏开放大学的要求，开放式课程平台开发运维服务的基本要求为：</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保障系统运行的稳定性和可靠性；</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保障系统的安全性和可恢复性；</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故障的及时响应与修复；</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提供系统相关的培训服务；</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提供后期系统建设的咨询服务；</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负责编制应急演练方案、计划及报告；</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建立符合最终用户要求的运维管理流程、规范、制度并遵照执行；</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在运维工作中不断总结，形成知识库，将运维经验沉淀和积累下来；</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 xml:space="preserve">面向最终用户提供系统使用相关的操作及业务咨询服务； </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负责对系统进行日常维护和巡检：包括：包括日常巡检、运维报告、系统监控、系统值守、接收服务请求并进行处置和反馈等；</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系统维护服务，包括：系统变更、版本升级；解决使用过程中出现的各类问题，对运维人员无法解决的问题提交相关管理人员，并进行问题的跟踪解决；</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负责做好系统节庆、特殊业务日期间的系统保障、支持值班工作；</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测试环境运行服务：包括测试环境搭建、维护等相关服务；</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应急机制建设：按照信息运维模式及江苏开放大学对信息系统调度运行管理的要求建立各项运维应急机制；</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安全事项：包括配合安全体系、安全工具的建设，负责落实安全工作的执行和深化等相关服务；</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配合事项服务：包括系统的建设、实施、测试、验收等配合服务；</w:t>
      </w:r>
    </w:p>
    <w:p>
      <w:pPr>
        <w:numPr>
          <w:ilvl w:val="0"/>
          <w:numId w:val="6"/>
        </w:numPr>
        <w:spacing w:line="360" w:lineRule="auto"/>
        <w:ind w:left="425" w:leftChars="0" w:hanging="5" w:firstLineChars="0"/>
        <w:jc w:val="left"/>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落实江苏开放大学安排的其它工作。</w:t>
      </w:r>
    </w:p>
    <w:p>
      <w:pPr>
        <w:spacing w:line="360" w:lineRule="auto"/>
        <w:ind w:firstLine="315" w:firstLineChars="150"/>
        <w:jc w:val="center"/>
        <w:rPr>
          <w:rFonts w:hint="default" w:ascii="Times New Roman" w:hAnsi="Times New Roman" w:cs="Times New Roman" w:eastAsiaTheme="minorEastAsia"/>
          <w:color w:val="auto"/>
          <w:kern w:val="0"/>
          <w:sz w:val="21"/>
          <w:szCs w:val="21"/>
          <w:lang w:bidi="ar"/>
        </w:rPr>
      </w:pPr>
    </w:p>
    <w:p>
      <w:pPr>
        <w:pStyle w:val="5"/>
        <w:jc w:val="center"/>
        <w:rPr>
          <w:rFonts w:hint="default" w:ascii="楷体" w:hAnsi="楷体" w:eastAsia="楷体" w:cs="楷体"/>
          <w:color w:val="auto"/>
          <w:sz w:val="44"/>
        </w:rPr>
      </w:pPr>
      <w:r>
        <w:rPr>
          <w:rFonts w:hint="default" w:ascii="楷体" w:hAnsi="楷体" w:eastAsia="楷体" w:cs="楷体"/>
          <w:color w:val="auto"/>
          <w:sz w:val="44"/>
        </w:rPr>
        <w:t>第四部分  合同主要条款</w:t>
      </w:r>
    </w:p>
    <w:p>
      <w:pPr>
        <w:rPr>
          <w:rFonts w:hint="default" w:ascii="Times New Roman" w:hAnsi="Times New Roman" w:cs="Times New Roman" w:eastAsiaTheme="minorEastAsia"/>
          <w:color w:val="auto"/>
        </w:rPr>
      </w:pP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hint="default" w:ascii="Times New Roman" w:hAnsi="Times New Roman" w:cs="Times New Roman" w:eastAsiaTheme="minorEastAsia"/>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bCs/>
          <w:color w:val="auto"/>
          <w:kern w:val="44"/>
          <w:sz w:val="44"/>
          <w:szCs w:val="44"/>
        </w:rPr>
        <w:t>江苏开放大学合同专用条款</w:t>
      </w:r>
    </w:p>
    <w:p>
      <w:pPr>
        <w:pStyle w:val="16"/>
        <w:spacing w:line="360" w:lineRule="auto"/>
        <w:rPr>
          <w:rFonts w:hint="default" w:ascii="Times New Roman" w:hAnsi="Times New Roman" w:cs="Times New Roman" w:eastAsiaTheme="minorEastAsia"/>
          <w:color w:val="auto"/>
          <w:szCs w:val="21"/>
        </w:rPr>
      </w:pPr>
      <w:bookmarkStart w:id="38" w:name="hetongStart"/>
      <w:bookmarkEnd w:id="38"/>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甲方： 江苏开放大学</w:t>
      </w:r>
    </w:p>
    <w:p>
      <w:pPr>
        <w:spacing w:line="300" w:lineRule="auto"/>
        <w:rPr>
          <w:rFonts w:hint="default" w:ascii="Times New Roman" w:hAnsi="Times New Roman" w:cs="Times New Roman" w:eastAsiaTheme="minorEastAsia"/>
          <w:color w:val="auto"/>
          <w:kern w:val="0"/>
          <w:sz w:val="24"/>
          <w:szCs w:val="20"/>
        </w:rPr>
      </w:pPr>
      <w:bookmarkStart w:id="39" w:name="OLE_LINK3"/>
      <w:r>
        <w:rPr>
          <w:rFonts w:hint="default" w:ascii="Times New Roman" w:hAnsi="Times New Roman" w:cs="Times New Roman" w:eastAsiaTheme="minorEastAsia"/>
          <w:color w:val="auto"/>
          <w:kern w:val="0"/>
          <w:sz w:val="24"/>
          <w:szCs w:val="20"/>
        </w:rPr>
        <w:t xml:space="preserve">地址： </w:t>
      </w:r>
    </w:p>
    <w:p>
      <w:pPr>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联系人：</w:t>
      </w:r>
    </w:p>
    <w:p>
      <w:pPr>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电话：</w:t>
      </w:r>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邮编：</w:t>
      </w:r>
    </w:p>
    <w:bookmarkEnd w:id="39"/>
    <w:p>
      <w:pPr>
        <w:spacing w:after="120"/>
        <w:rPr>
          <w:rFonts w:hint="default" w:ascii="Times New Roman" w:hAnsi="Times New Roman" w:cs="Times New Roman" w:eastAsiaTheme="minorEastAsia"/>
          <w:color w:val="auto"/>
          <w:kern w:val="0"/>
          <w:sz w:val="24"/>
          <w:szCs w:val="20"/>
        </w:rPr>
      </w:pPr>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乙方：</w:t>
      </w:r>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地址：</w:t>
      </w:r>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法定代表人：</w:t>
      </w:r>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联系人：</w:t>
      </w:r>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电话：</w:t>
      </w:r>
    </w:p>
    <w:p>
      <w:pPr>
        <w:autoSpaceDN w:val="0"/>
        <w:spacing w:line="30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邮编：</w:t>
      </w:r>
    </w:p>
    <w:p>
      <w:pPr>
        <w:autoSpaceDE w:val="0"/>
        <w:autoSpaceDN w:val="0"/>
        <w:adjustRightInd w:val="0"/>
        <w:spacing w:line="360" w:lineRule="auto"/>
        <w:ind w:firstLine="480" w:firstLineChars="200"/>
        <w:rPr>
          <w:rFonts w:hint="default" w:ascii="Times New Roman" w:hAnsi="Times New Roman" w:cs="Times New Roman" w:eastAsiaTheme="minorEastAsia"/>
          <w:color w:val="auto"/>
          <w:kern w:val="0"/>
          <w:sz w:val="24"/>
          <w:szCs w:val="20"/>
        </w:rPr>
      </w:pP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根据《中华人民共和国政府采购法》、《中华人民共和国合同法》等法律法规的规定，甲乙双方根据201</w:t>
      </w:r>
      <w:r>
        <w:rPr>
          <w:rFonts w:hint="default" w:ascii="Times New Roman" w:hAnsi="Times New Roman" w:cs="Times New Roman" w:eastAsiaTheme="minorEastAsia"/>
          <w:color w:val="auto"/>
          <w:kern w:val="0"/>
          <w:sz w:val="24"/>
          <w:szCs w:val="20"/>
          <w:lang w:val="en-US" w:eastAsia="zh-CN"/>
        </w:rPr>
        <w:t>9</w:t>
      </w:r>
      <w:r>
        <w:rPr>
          <w:rFonts w:hint="default" w:ascii="Times New Roman" w:hAnsi="Times New Roman" w:cs="Times New Roman" w:eastAsiaTheme="minorEastAsia"/>
          <w:color w:val="auto"/>
          <w:kern w:val="0"/>
          <w:sz w:val="24"/>
          <w:szCs w:val="20"/>
        </w:rPr>
        <w:t>年____月</w:t>
      </w:r>
      <w:bookmarkStart w:id="40" w:name="OLE_LINK2"/>
      <w:r>
        <w:rPr>
          <w:rFonts w:hint="default" w:ascii="Times New Roman" w:hAnsi="Times New Roman" w:cs="Times New Roman" w:eastAsiaTheme="minorEastAsia"/>
          <w:color w:val="auto"/>
          <w:kern w:val="0"/>
          <w:sz w:val="24"/>
          <w:szCs w:val="20"/>
        </w:rPr>
        <w:t>____</w:t>
      </w:r>
      <w:bookmarkEnd w:id="40"/>
      <w:r>
        <w:rPr>
          <w:rFonts w:hint="default" w:ascii="Times New Roman" w:hAnsi="Times New Roman" w:cs="Times New Roman" w:eastAsiaTheme="minorEastAsia"/>
          <w:color w:val="auto"/>
          <w:kern w:val="0"/>
          <w:sz w:val="24"/>
          <w:szCs w:val="20"/>
        </w:rPr>
        <w:t>日招标编号</w:t>
      </w:r>
      <w:r>
        <w:rPr>
          <w:rFonts w:hint="default" w:ascii="Times New Roman" w:hAnsi="Times New Roman" w:cs="Times New Roman" w:eastAsiaTheme="minorEastAsia"/>
          <w:color w:val="auto"/>
          <w:sz w:val="21"/>
          <w:szCs w:val="21"/>
          <w:u w:val="single"/>
        </w:rPr>
        <w:t>2019-ZB-XC059</w:t>
      </w:r>
      <w:r>
        <w:rPr>
          <w:rFonts w:hint="default" w:ascii="Times New Roman" w:hAnsi="Times New Roman" w:cs="Times New Roman" w:eastAsiaTheme="minorEastAsia"/>
          <w:color w:val="auto"/>
          <w:kern w:val="0"/>
          <w:sz w:val="24"/>
          <w:szCs w:val="20"/>
        </w:rPr>
        <w:t>的江苏开放大学开放式课程平台开发运维项目公开招标采购结果及招标文件的要求,经协商一致,达成如下服务合同。</w:t>
      </w:r>
    </w:p>
    <w:p>
      <w:pPr>
        <w:spacing w:line="36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一、合同内容                  </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1.详见招标文件。</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2.工期：合同签订后</w:t>
      </w:r>
      <w:r>
        <w:rPr>
          <w:rFonts w:hint="default" w:ascii="Times New Roman" w:hAnsi="Times New Roman" w:cs="Times New Roman" w:eastAsiaTheme="minorEastAsia"/>
          <w:color w:val="auto"/>
          <w:kern w:val="0"/>
          <w:sz w:val="24"/>
          <w:szCs w:val="20"/>
          <w:lang w:val="en-US" w:eastAsia="zh-CN"/>
        </w:rPr>
        <w:t>30个工作日</w:t>
      </w:r>
      <w:r>
        <w:rPr>
          <w:rFonts w:hint="default" w:ascii="Times New Roman" w:hAnsi="Times New Roman" w:cs="Times New Roman" w:eastAsiaTheme="minorEastAsia"/>
          <w:color w:val="auto"/>
          <w:kern w:val="0"/>
          <w:sz w:val="24"/>
          <w:szCs w:val="20"/>
        </w:rPr>
        <w:t>。</w:t>
      </w:r>
    </w:p>
    <w:p>
      <w:pPr>
        <w:spacing w:line="300" w:lineRule="auto"/>
        <w:ind w:firstLine="720" w:firstLineChars="3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质保期：</w:t>
      </w:r>
      <w:r>
        <w:rPr>
          <w:rFonts w:hint="default" w:ascii="Times New Roman" w:hAnsi="Times New Roman" w:cs="Times New Roman" w:eastAsiaTheme="minorEastAsia"/>
          <w:color w:val="auto"/>
          <w:kern w:val="0"/>
          <w:sz w:val="24"/>
          <w:szCs w:val="20"/>
          <w:lang w:val="en-US" w:eastAsia="zh-CN"/>
        </w:rPr>
        <w:t>一年</w:t>
      </w:r>
      <w:r>
        <w:rPr>
          <w:rFonts w:hint="default" w:ascii="Times New Roman" w:hAnsi="Times New Roman" w:cs="Times New Roman" w:eastAsiaTheme="minorEastAsia"/>
          <w:color w:val="auto"/>
          <w:kern w:val="0"/>
          <w:sz w:val="24"/>
          <w:szCs w:val="20"/>
        </w:rPr>
        <w:t>，自 201</w:t>
      </w:r>
      <w:r>
        <w:rPr>
          <w:rFonts w:hint="default" w:ascii="Times New Roman" w:hAnsi="Times New Roman" w:cs="Times New Roman" w:eastAsiaTheme="minorEastAsia"/>
          <w:color w:val="auto"/>
          <w:kern w:val="0"/>
          <w:sz w:val="24"/>
          <w:szCs w:val="20"/>
          <w:lang w:val="en-US" w:eastAsia="zh-CN"/>
        </w:rPr>
        <w:t>9</w:t>
      </w:r>
      <w:r>
        <w:rPr>
          <w:rFonts w:hint="default" w:ascii="Times New Roman" w:hAnsi="Times New Roman" w:cs="Times New Roman" w:eastAsiaTheme="minorEastAsia"/>
          <w:color w:val="auto"/>
          <w:kern w:val="0"/>
          <w:sz w:val="24"/>
          <w:szCs w:val="20"/>
        </w:rPr>
        <w:t>年____月____日起至_____年____月____日止。</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3.甲方项目负责人：</w:t>
      </w:r>
      <w:bookmarkStart w:id="41" w:name="OLE_LINK4"/>
      <w:r>
        <w:rPr>
          <w:rFonts w:hint="default" w:ascii="Times New Roman" w:hAnsi="Times New Roman" w:cs="Times New Roman" w:eastAsiaTheme="minorEastAsia"/>
          <w:color w:val="auto"/>
          <w:kern w:val="0"/>
          <w:sz w:val="24"/>
          <w:szCs w:val="20"/>
        </w:rPr>
        <w:t>___________________ ，电话：___________________。</w:t>
      </w:r>
      <w:bookmarkEnd w:id="41"/>
    </w:p>
    <w:p>
      <w:pPr>
        <w:spacing w:line="300" w:lineRule="auto"/>
        <w:ind w:firstLine="720" w:firstLineChars="3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乙方项目负责人：___________________ ，电话：___________________。</w:t>
      </w:r>
    </w:p>
    <w:p>
      <w:pPr>
        <w:spacing w:line="36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二、合同组成</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1.中标通知书；</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2.乙方中标的投标书；</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3.招标文件；</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4.乙方在招投标过程中所作的其它承诺、声明、书面澄清等。</w:t>
      </w:r>
    </w:p>
    <w:p>
      <w:pPr>
        <w:spacing w:line="36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三、合同金额与支付</w:t>
      </w:r>
    </w:p>
    <w:p>
      <w:pPr>
        <w:spacing w:line="30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合同总金额：人民币（大写）        元（￥：　     　　）。</w:t>
      </w:r>
    </w:p>
    <w:p>
      <w:pPr>
        <w:autoSpaceDN w:val="0"/>
        <w:spacing w:line="460" w:lineRule="atLeast"/>
        <w:ind w:firstLine="48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支付方式：</w:t>
      </w:r>
    </w:p>
    <w:p>
      <w:pPr>
        <w:pStyle w:val="16"/>
        <w:spacing w:line="360" w:lineRule="auto"/>
        <w:ind w:firstLine="480" w:firstLineChars="20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第一次付款：在项目验收完毕后30个工作日内，甲方向乙方支付合同总金额</w:t>
      </w:r>
      <w:r>
        <w:rPr>
          <w:rFonts w:hint="eastAsia" w:ascii="Times New Roman" w:hAnsi="Times New Roman" w:cs="Times New Roman" w:eastAsiaTheme="minorEastAsia"/>
          <w:color w:val="auto"/>
          <w:kern w:val="2"/>
          <w:sz w:val="24"/>
          <w:szCs w:val="24"/>
          <w:lang w:val="en-US" w:eastAsia="zh-CN" w:bidi="ar-SA"/>
        </w:rPr>
        <w:t>95</w:t>
      </w:r>
      <w:r>
        <w:rPr>
          <w:rFonts w:hint="default" w:ascii="Times New Roman" w:hAnsi="Times New Roman" w:cs="Times New Roman" w:eastAsiaTheme="minorEastAsia"/>
          <w:color w:val="auto"/>
          <w:kern w:val="2"/>
          <w:sz w:val="24"/>
          <w:szCs w:val="24"/>
          <w:lang w:val="en-US" w:eastAsia="zh-CN" w:bidi="ar-SA"/>
        </w:rPr>
        <w:t>%的款项即</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u w:val="single"/>
        </w:rPr>
        <w:t>￥</w:t>
      </w:r>
      <w:r>
        <w:rPr>
          <w:rFonts w:hint="default" w:ascii="Times New Roman" w:hAnsi="Times New Roman" w:cs="Times New Roman" w:eastAsiaTheme="minorEastAsia"/>
          <w:color w:val="auto"/>
          <w:sz w:val="24"/>
          <w:u w:val="single"/>
          <w:lang w:val="en-US" w:eastAsia="zh-CN"/>
        </w:rPr>
        <w:t xml:space="preserve">  </w:t>
      </w:r>
      <w:r>
        <w:rPr>
          <w:rFonts w:hint="eastAsia"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rPr>
        <w:t>元</w:t>
      </w:r>
      <w:r>
        <w:rPr>
          <w:rFonts w:hint="default" w:ascii="Times New Roman" w:hAnsi="Times New Roman" w:cs="Times New Roman" w:eastAsiaTheme="minorEastAsia"/>
          <w:color w:val="auto"/>
          <w:sz w:val="24"/>
        </w:rPr>
        <w:t>（大写：人民币</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u w:val="single"/>
          <w:lang w:val="en-US" w:eastAsia="zh-CN"/>
        </w:rPr>
        <w:t xml:space="preserve">  </w:t>
      </w:r>
      <w:r>
        <w:rPr>
          <w:rFonts w:hint="eastAsia"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rPr>
        <w:t>元）]</w:t>
      </w:r>
      <w:r>
        <w:rPr>
          <w:rFonts w:hint="default" w:ascii="Times New Roman" w:hAnsi="Times New Roman" w:cs="Times New Roman" w:eastAsiaTheme="minorEastAsia"/>
          <w:color w:val="auto"/>
          <w:kern w:val="2"/>
          <w:sz w:val="24"/>
          <w:szCs w:val="24"/>
          <w:lang w:val="en-US" w:eastAsia="zh-CN" w:bidi="ar-SA"/>
        </w:rPr>
        <w:t>；</w:t>
      </w:r>
    </w:p>
    <w:p>
      <w:pPr>
        <w:pStyle w:val="16"/>
        <w:spacing w:line="360" w:lineRule="auto"/>
        <w:ind w:firstLine="480" w:firstLineChars="20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第二次付款：在系统完成最终检测并且通过由招标方组织的验收后，甲方向乙方支付合同总金额</w:t>
      </w:r>
      <w:r>
        <w:rPr>
          <w:rFonts w:hint="eastAsia" w:ascii="Times New Roman" w:hAnsi="Times New Roman" w:cs="Times New Roman" w:eastAsiaTheme="minorEastAsia"/>
          <w:color w:val="auto"/>
          <w:kern w:val="2"/>
          <w:sz w:val="24"/>
          <w:szCs w:val="24"/>
          <w:lang w:val="en-US" w:eastAsia="zh-CN" w:bidi="ar-SA"/>
        </w:rPr>
        <w:t>5</w:t>
      </w:r>
      <w:r>
        <w:rPr>
          <w:rFonts w:hint="default" w:ascii="Times New Roman" w:hAnsi="Times New Roman" w:cs="Times New Roman" w:eastAsiaTheme="minorEastAsia"/>
          <w:color w:val="auto"/>
          <w:kern w:val="2"/>
          <w:sz w:val="24"/>
          <w:szCs w:val="24"/>
          <w:lang w:val="en-US" w:eastAsia="zh-CN" w:bidi="ar-SA"/>
        </w:rPr>
        <w:t>%的款项，即</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u w:val="single"/>
        </w:rPr>
        <w:t>￥</w:t>
      </w:r>
      <w:r>
        <w:rPr>
          <w:rFonts w:hint="default" w:ascii="Times New Roman" w:hAnsi="Times New Roman" w:cs="Times New Roman" w:eastAsiaTheme="minorEastAsia"/>
          <w:color w:val="auto"/>
          <w:sz w:val="24"/>
          <w:u w:val="single"/>
          <w:lang w:val="en-US" w:eastAsia="zh-CN"/>
        </w:rPr>
        <w:t xml:space="preserve">  </w:t>
      </w:r>
      <w:r>
        <w:rPr>
          <w:rFonts w:hint="eastAsia"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rPr>
        <w:t>元</w:t>
      </w:r>
      <w:r>
        <w:rPr>
          <w:rFonts w:hint="default" w:ascii="Times New Roman" w:hAnsi="Times New Roman" w:cs="Times New Roman" w:eastAsiaTheme="minorEastAsia"/>
          <w:color w:val="auto"/>
          <w:sz w:val="24"/>
        </w:rPr>
        <w:t>（大写：人民币</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u w:val="single"/>
          <w:lang w:val="en-US" w:eastAsia="zh-CN"/>
        </w:rPr>
        <w:t xml:space="preserve"> </w:t>
      </w:r>
      <w:r>
        <w:rPr>
          <w:rFonts w:hint="eastAsia"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lang w:val="en-US" w:eastAsia="zh-CN"/>
        </w:rPr>
        <w:t xml:space="preserve">  </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rPr>
        <w:t>元）]</w:t>
      </w:r>
      <w:r>
        <w:rPr>
          <w:rFonts w:hint="default" w:ascii="Times New Roman" w:hAnsi="Times New Roman" w:cs="Times New Roman" w:eastAsiaTheme="minorEastAsia"/>
          <w:color w:val="auto"/>
          <w:kern w:val="2"/>
          <w:sz w:val="24"/>
          <w:szCs w:val="24"/>
          <w:lang w:val="en-US" w:eastAsia="zh-CN" w:bidi="ar-SA"/>
        </w:rPr>
        <w:t>。</w:t>
      </w:r>
    </w:p>
    <w:p>
      <w:pPr>
        <w:spacing w:line="360" w:lineRule="auto"/>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四、乙方服务要求  </w:t>
      </w:r>
    </w:p>
    <w:p>
      <w:pPr>
        <w:numPr>
          <w:ilvl w:val="0"/>
          <w:numId w:val="0"/>
        </w:numPr>
        <w:spacing w:line="360" w:lineRule="auto"/>
        <w:ind w:left="420" w:leftChars="0"/>
        <w:jc w:val="left"/>
        <w:rPr>
          <w:rFonts w:hint="default" w:ascii="Times New Roman" w:hAnsi="Times New Roman" w:cs="Times New Roman" w:eastAsiaTheme="minorEastAsia"/>
          <w:color w:val="auto"/>
          <w:kern w:val="0"/>
          <w:sz w:val="24"/>
          <w:szCs w:val="20"/>
          <w:lang w:val="en-US" w:eastAsia="zh-CN"/>
        </w:rPr>
      </w:pPr>
      <w:r>
        <w:rPr>
          <w:rFonts w:hint="default" w:ascii="Times New Roman" w:hAnsi="Times New Roman" w:cs="Times New Roman" w:eastAsiaTheme="minorEastAsia"/>
          <w:color w:val="auto"/>
          <w:kern w:val="0"/>
          <w:sz w:val="24"/>
          <w:szCs w:val="20"/>
        </w:rPr>
        <w:t>1.</w:t>
      </w:r>
      <w:r>
        <w:rPr>
          <w:rFonts w:hint="default" w:ascii="Times New Roman" w:hAnsi="Times New Roman" w:cs="Times New Roman" w:eastAsiaTheme="minorEastAsia"/>
          <w:color w:val="auto"/>
          <w:kern w:val="0"/>
          <w:sz w:val="24"/>
          <w:szCs w:val="20"/>
          <w:lang w:val="en-US" w:eastAsia="zh-CN"/>
        </w:rPr>
        <w:t>投标人中标后需根据甲方要求提供相应服务，具体见招标文件。</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lang w:val="en-US" w:eastAsia="zh-CN"/>
        </w:rPr>
        <w:t>2</w:t>
      </w:r>
      <w:r>
        <w:rPr>
          <w:rFonts w:hint="default" w:ascii="Times New Roman" w:hAnsi="Times New Roman" w:cs="Times New Roman" w:eastAsiaTheme="minorEastAsia"/>
          <w:color w:val="auto"/>
          <w:kern w:val="0"/>
          <w:sz w:val="24"/>
          <w:szCs w:val="20"/>
        </w:rPr>
        <w:t>.未经甲方书面同意，乙方不得将本合同项目部分或全部服务工作转让第三人承担。</w:t>
      </w:r>
    </w:p>
    <w:p>
      <w:pPr>
        <w:spacing w:line="36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五、项目验收</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双方确定以下列标准和方式对乙方的技术服务工作成果进行验收：</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1.乙方完成技术服务工作的形式：服务期满提交详细评估测评报告并协助甲方完成整改。</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2.验收的时间和地点：服务期满时在南京验收。</w:t>
      </w:r>
    </w:p>
    <w:p>
      <w:pPr>
        <w:spacing w:line="360" w:lineRule="auto"/>
        <w:ind w:firstLine="480" w:firstLineChars="20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六、不可抗力</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1.因不可抗力不能履行合同的，根据不可抗力的影响，部分或者全部免除责任。但合同一方迟延履行后发生严重后果的，不能免除责任。</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2.合同一方因不可抗力不能履行合同的，应当及时通知对方，以减轻可能给对方造成的损失，并应当在合理期限内提供证明。</w:t>
      </w:r>
    </w:p>
    <w:p>
      <w:pPr>
        <w:widowControl/>
        <w:spacing w:line="360" w:lineRule="auto"/>
        <w:ind w:firstLine="470" w:firstLineChars="196"/>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七、保密条款</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乙方不得将在履行本合同中知悉的甲方任何信息随意泄露、擅自使用。如违反本条款规定，乙方应当承担如下责任：__________________________</w:t>
      </w:r>
    </w:p>
    <w:p>
      <w:pPr>
        <w:widowControl/>
        <w:spacing w:after="120"/>
        <w:ind w:firstLine="48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八、违约责任</w:t>
      </w:r>
    </w:p>
    <w:p>
      <w:pPr>
        <w:spacing w:after="120"/>
        <w:ind w:firstLine="48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乙方如未能在本合同约定期限内完成服务项目的，则应按合同总价款每日万分之五的标准向甲方支付违约金。乙方支付逾期违约金后，不免除继续完成项目及修补缺陷的义务。逾期超过30天的，甲方有权解除本合同。</w:t>
      </w:r>
    </w:p>
    <w:p>
      <w:pPr>
        <w:spacing w:after="120"/>
        <w:ind w:firstLine="48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 服务质量必须达到合同约定的质量标准以及投标书承诺的质量标准，如违反本条约定的质量标准，乙方必须无偿返修并按合同总价的10%向甲方支付违约金。此赔偿并不能解除乙方完成服务内容的责任及合同约定的其他责任。</w:t>
      </w:r>
    </w:p>
    <w:p>
      <w:pPr>
        <w:spacing w:after="120"/>
        <w:ind w:firstLine="48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3、若乙方擅自停工或单方面终止合同的执行或发生其他违约行为，造成合同无法履行，甲方有权按乙方已完成合格工程量的70%给予结算，乙方须承担由此而给甲方造成的一切损失。</w:t>
      </w:r>
    </w:p>
    <w:p>
      <w:pPr>
        <w:widowControl/>
        <w:spacing w:line="360" w:lineRule="auto"/>
        <w:ind w:firstLine="352" w:firstLineChars="147"/>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九、合同纠纷处理</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1、本合同执行过程中发生纠纷，由甲乙双方协商处理，若协商不成，双方一致同意由采购人所在地法院管辖。</w:t>
      </w:r>
    </w:p>
    <w:p>
      <w:pPr>
        <w:spacing w:after="12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   2、因乙方违约致使甲方采取诉讼方式解决纠纷的，乙方应承担甲方为维护权益而发生的包括但不限于诉讼费、通讯费、律师费、调查费等。</w:t>
      </w:r>
    </w:p>
    <w:p>
      <w:pPr>
        <w:spacing w:after="120"/>
        <w:ind w:firstLine="360" w:firstLineChars="15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3、 双方确认，本协议文首所列明的双方地址即为相关法律文书（包括但不限于往来函、通知、传票、判决、裁定等文书）的唯一送达地址。若该信息有变更，应当三日内以书面形式告知对方，若无变更或者变更未书面通知对方的，双方依据该地址送达的文件均视为有效送达。</w:t>
      </w:r>
    </w:p>
    <w:p>
      <w:pPr>
        <w:spacing w:after="120"/>
        <w:ind w:firstLine="360" w:firstLineChars="150"/>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4、在争议的处理过程中，除争议部分外，合同的其他部分将继续执行。</w:t>
      </w:r>
    </w:p>
    <w:p>
      <w:pPr>
        <w:widowControl/>
        <w:spacing w:after="120"/>
        <w:rPr>
          <w:rFonts w:hint="default" w:ascii="Times New Roman" w:hAnsi="Times New Roman" w:cs="Times New Roman" w:eastAsiaTheme="minorEastAsia"/>
          <w:color w:val="auto"/>
          <w:kern w:val="0"/>
          <w:sz w:val="24"/>
          <w:szCs w:val="20"/>
        </w:rPr>
      </w:pPr>
    </w:p>
    <w:p>
      <w:pPr>
        <w:widowControl/>
        <w:tabs>
          <w:tab w:val="left" w:pos="1980"/>
        </w:tabs>
        <w:snapToGrid w:val="0"/>
        <w:spacing w:line="360" w:lineRule="auto"/>
        <w:ind w:firstLine="470" w:firstLineChars="196"/>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十、合同生效</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本合同由甲乙双方签字盖章之日起生效。</w:t>
      </w:r>
    </w:p>
    <w:p>
      <w:pPr>
        <w:widowControl/>
        <w:tabs>
          <w:tab w:val="left" w:pos="1980"/>
        </w:tabs>
        <w:snapToGrid w:val="0"/>
        <w:spacing w:line="360" w:lineRule="auto"/>
        <w:ind w:firstLine="470" w:firstLineChars="196"/>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十一、组成本合同的文件</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 本合同、中标通知书、招标文件和乙方的投标文件以及甲乙双方商定的其他必要文件。</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 上述合同文件内容互为补充，如有不明确，以甲方解释为准。</w:t>
      </w:r>
    </w:p>
    <w:p>
      <w:pPr>
        <w:widowControl/>
        <w:snapToGrid w:val="0"/>
        <w:spacing w:line="360" w:lineRule="auto"/>
        <w:ind w:firstLine="470" w:firstLineChars="196"/>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十二、其他规定</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1．本合同一式陆份，甲方执肆份，乙方执贰份。</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2．本合同附件为本合同的组成部分，与本合同具有同等法律效力。</w:t>
      </w:r>
    </w:p>
    <w:p>
      <w:pPr>
        <w:spacing w:line="360" w:lineRule="auto"/>
        <w:jc w:val="left"/>
        <w:rPr>
          <w:rFonts w:hint="default" w:ascii="Times New Roman" w:hAnsi="Times New Roman" w:cs="Times New Roman" w:eastAsiaTheme="minorEastAsia"/>
          <w:color w:val="auto"/>
          <w:kern w:val="0"/>
          <w:sz w:val="24"/>
          <w:szCs w:val="20"/>
        </w:rPr>
      </w:pP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甲方：</w:t>
      </w:r>
      <w:bookmarkStart w:id="42" w:name="purchase_one_start"/>
      <w:bookmarkEnd w:id="42"/>
      <w:r>
        <w:rPr>
          <w:rFonts w:hint="default" w:ascii="Times New Roman" w:hAnsi="Times New Roman" w:cs="Times New Roman" w:eastAsiaTheme="minorEastAsia"/>
          <w:color w:val="auto"/>
          <w:kern w:val="0"/>
          <w:sz w:val="24"/>
          <w:szCs w:val="20"/>
        </w:rPr>
        <w:t xml:space="preserve">江苏开放大学 </w:t>
      </w:r>
      <w:bookmarkStart w:id="43" w:name="purchase_one_end"/>
      <w:bookmarkEnd w:id="43"/>
      <w:r>
        <w:rPr>
          <w:rFonts w:hint="default" w:ascii="Times New Roman" w:hAnsi="Times New Roman" w:cs="Times New Roman" w:eastAsiaTheme="minorEastAsia"/>
          <w:color w:val="auto"/>
          <w:kern w:val="0"/>
          <w:sz w:val="24"/>
          <w:szCs w:val="20"/>
        </w:rPr>
        <w:t xml:space="preserve"> （盖章）</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地址：                              </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法定（授权）代表人：                   </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2018年  月  日 </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乙方：</w:t>
      </w:r>
      <w:bookmarkStart w:id="44" w:name="suppliers_name_one"/>
      <w:bookmarkEnd w:id="44"/>
      <w:r>
        <w:rPr>
          <w:rFonts w:hint="default" w:ascii="Times New Roman" w:hAnsi="Times New Roman" w:cs="Times New Roman" w:eastAsiaTheme="minorEastAsia"/>
          <w:color w:val="auto"/>
          <w:kern w:val="0"/>
          <w:sz w:val="24"/>
          <w:szCs w:val="20"/>
        </w:rPr>
        <w:t xml:space="preserve">                       （盖章）</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地址：                                 </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法定（授权）代表人：                   </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2018年  月  日</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户名：                                 </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开户银行：                             </w:t>
      </w:r>
    </w:p>
    <w:p>
      <w:pPr>
        <w:spacing w:line="360" w:lineRule="auto"/>
        <w:ind w:firstLine="42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 xml:space="preserve">账号：                                 </w:t>
      </w:r>
    </w:p>
    <w:p>
      <w:pPr>
        <w:spacing w:before="78" w:beforeLines="25" w:after="78" w:afterLines="25" w:line="460" w:lineRule="exact"/>
        <w:ind w:firstLine="480" w:firstLineChars="200"/>
        <w:rPr>
          <w:rFonts w:hint="default" w:ascii="Times New Roman" w:hAnsi="Times New Roman" w:cs="Times New Roman" w:eastAsiaTheme="minorEastAsia"/>
          <w:color w:val="auto"/>
          <w:kern w:val="0"/>
          <w:sz w:val="24"/>
          <w:szCs w:val="20"/>
        </w:rPr>
      </w:pPr>
    </w:p>
    <w:p>
      <w:pPr>
        <w:pStyle w:val="16"/>
        <w:spacing w:line="360" w:lineRule="auto"/>
        <w:rPr>
          <w:rFonts w:hint="default" w:ascii="Times New Roman" w:hAnsi="Times New Roman" w:cs="Times New Roman" w:eastAsiaTheme="minorEastAsia"/>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hint="default" w:ascii="楷体" w:hAnsi="楷体" w:eastAsia="楷体" w:cs="楷体"/>
          <w:color w:val="auto"/>
          <w:sz w:val="44"/>
        </w:rPr>
      </w:pPr>
      <w:bookmarkStart w:id="45" w:name="_Toc455914619"/>
      <w:r>
        <w:rPr>
          <w:rFonts w:hint="default" w:ascii="楷体" w:hAnsi="楷体" w:eastAsia="楷体" w:cs="楷体"/>
          <w:color w:val="auto"/>
          <w:sz w:val="44"/>
        </w:rPr>
        <w:t>第五部分</w:t>
      </w:r>
      <w:r>
        <w:rPr>
          <w:rFonts w:hint="default" w:ascii="楷体" w:hAnsi="楷体" w:eastAsia="楷体" w:cs="楷体"/>
          <w:color w:val="auto"/>
          <w:sz w:val="44"/>
          <w:lang w:val="en-US" w:eastAsia="zh-CN"/>
        </w:rPr>
        <w:t xml:space="preserve"> </w:t>
      </w:r>
      <w:r>
        <w:rPr>
          <w:rFonts w:hint="default" w:ascii="楷体" w:hAnsi="楷体" w:eastAsia="楷体" w:cs="楷体"/>
          <w:color w:val="auto"/>
          <w:sz w:val="44"/>
        </w:rPr>
        <w:t>投标文件格式</w:t>
      </w:r>
      <w:bookmarkEnd w:id="45"/>
    </w:p>
    <w:p>
      <w:pPr>
        <w:pStyle w:val="16"/>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int="default" w:ascii="Times New Roman" w:hAnsi="Times New Roman" w:cs="Times New Roman" w:eastAsiaTheme="minorEastAsia"/>
          <w:color w:val="auto"/>
          <w:szCs w:val="21"/>
        </w:rPr>
        <w:t>(请按照以下文件的要求格式、内容，顺序制作投标文件，并请编制目录及页码，否则可能将影响对投标文件的评价。)</w:t>
      </w:r>
    </w:p>
    <w:p>
      <w:pPr>
        <w:pStyle w:val="16"/>
        <w:rPr>
          <w:rFonts w:hint="default" w:ascii="Times New Roman" w:hAnsi="Times New Roman" w:cs="Times New Roman" w:eastAsiaTheme="minorEastAsia"/>
          <w:b/>
          <w:bCs/>
          <w:color w:val="auto"/>
          <w:szCs w:val="21"/>
        </w:rPr>
      </w:pPr>
    </w:p>
    <w:p>
      <w:pPr>
        <w:pStyle w:val="16"/>
        <w:jc w:val="center"/>
        <w:rPr>
          <w:rFonts w:hint="default" w:ascii="Times New Roman" w:hAnsi="Times New Roman" w:cs="Times New Roman" w:eastAsiaTheme="minorEastAsia"/>
          <w:color w:val="auto"/>
          <w:sz w:val="84"/>
          <w:szCs w:val="84"/>
        </w:rPr>
      </w:pPr>
    </w:p>
    <w:p>
      <w:pPr>
        <w:pStyle w:val="16"/>
        <w:jc w:val="center"/>
        <w:rPr>
          <w:rFonts w:hint="default" w:ascii="Times New Roman" w:hAnsi="Times New Roman" w:cs="Times New Roman" w:eastAsiaTheme="minorEastAsia"/>
          <w:color w:val="auto"/>
          <w:sz w:val="84"/>
          <w:szCs w:val="84"/>
        </w:rPr>
      </w:pPr>
      <w:r>
        <w:rPr>
          <w:rFonts w:hint="default" w:ascii="Times New Roman" w:hAnsi="Times New Roman" w:cs="Times New Roman" w:eastAsiaTheme="minorEastAsia"/>
          <w:color w:val="auto"/>
          <w:sz w:val="84"/>
          <w:szCs w:val="84"/>
        </w:rPr>
        <w:t>投标文件</w:t>
      </w:r>
    </w:p>
    <w:p>
      <w:pPr>
        <w:pStyle w:val="16"/>
        <w:rPr>
          <w:rFonts w:hint="default" w:ascii="Times New Roman" w:hAnsi="Times New Roman" w:cs="Times New Roman" w:eastAsiaTheme="minorEastAsia"/>
          <w:b/>
          <w:bCs/>
          <w:color w:val="auto"/>
          <w:szCs w:val="21"/>
        </w:rPr>
      </w:pPr>
    </w:p>
    <w:p>
      <w:pPr>
        <w:pStyle w:val="16"/>
        <w:rPr>
          <w:rFonts w:hint="default" w:ascii="Times New Roman" w:hAnsi="Times New Roman" w:cs="Times New Roman" w:eastAsiaTheme="minorEastAsia"/>
          <w:b/>
          <w:bCs/>
          <w:color w:val="auto"/>
          <w:szCs w:val="21"/>
        </w:rPr>
      </w:pPr>
    </w:p>
    <w:p>
      <w:pPr>
        <w:pStyle w:val="16"/>
        <w:rPr>
          <w:rFonts w:hint="default" w:ascii="Times New Roman" w:hAnsi="Times New Roman" w:cs="Times New Roman" w:eastAsiaTheme="minorEastAsia"/>
          <w:b/>
          <w:bCs/>
          <w:color w:val="auto"/>
          <w:szCs w:val="21"/>
        </w:rPr>
      </w:pPr>
    </w:p>
    <w:p>
      <w:pPr>
        <w:pStyle w:val="16"/>
        <w:rPr>
          <w:rFonts w:hint="default" w:ascii="Times New Roman" w:hAnsi="Times New Roman" w:cs="Times New Roman" w:eastAsiaTheme="minorEastAsia"/>
          <w:b/>
          <w:bCs/>
          <w:color w:val="auto"/>
          <w:szCs w:val="21"/>
        </w:rPr>
      </w:pPr>
    </w:p>
    <w:p>
      <w:pPr>
        <w:pStyle w:val="16"/>
        <w:ind w:firstLine="1247" w:firstLineChars="345"/>
        <w:rPr>
          <w:rFonts w:hint="default" w:ascii="Times New Roman" w:hAnsi="Times New Roman" w:cs="Times New Roman" w:eastAsiaTheme="minorEastAsia"/>
          <w:color w:val="auto"/>
          <w:sz w:val="36"/>
          <w:szCs w:val="36"/>
        </w:rPr>
      </w:pPr>
      <w:r>
        <w:rPr>
          <w:rFonts w:hint="default" w:ascii="Times New Roman" w:hAnsi="Times New Roman" w:cs="Times New Roman" w:eastAsiaTheme="minorEastAsia"/>
          <w:b/>
          <w:bCs/>
          <w:color w:val="auto"/>
          <w:sz w:val="36"/>
          <w:szCs w:val="36"/>
        </w:rPr>
        <w:t>项目编号:</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u w:val="single"/>
        </w:rPr>
      </w:pPr>
      <w:r>
        <w:rPr>
          <w:rFonts w:hint="default" w:ascii="Times New Roman" w:hAnsi="Times New Roman" w:cs="Times New Roman" w:eastAsiaTheme="minorEastAsia"/>
          <w:b/>
          <w:bCs/>
          <w:color w:val="auto"/>
          <w:sz w:val="36"/>
          <w:szCs w:val="36"/>
        </w:rPr>
        <w:t>项目名称：</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rPr>
      </w:pPr>
      <w:r>
        <w:rPr>
          <w:rFonts w:hint="default" w:ascii="Times New Roman" w:hAnsi="Times New Roman" w:cs="Times New Roman" w:eastAsiaTheme="minorEastAsia"/>
          <w:b/>
          <w:bCs/>
          <w:color w:val="auto"/>
          <w:sz w:val="36"/>
          <w:szCs w:val="36"/>
        </w:rPr>
        <w:t>投 标 人：</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u w:val="single"/>
        </w:rPr>
      </w:pPr>
      <w:r>
        <w:rPr>
          <w:rFonts w:hint="default" w:ascii="Times New Roman" w:hAnsi="Times New Roman" w:cs="Times New Roman" w:eastAsiaTheme="minorEastAsia"/>
          <w:b/>
          <w:bCs/>
          <w:color w:val="auto"/>
          <w:sz w:val="36"/>
          <w:szCs w:val="36"/>
        </w:rPr>
        <w:t>地    址：</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u w:val="single"/>
        </w:rPr>
      </w:pPr>
      <w:r>
        <w:rPr>
          <w:rFonts w:hint="default" w:ascii="Times New Roman" w:hAnsi="Times New Roman" w:cs="Times New Roman" w:eastAsiaTheme="minorEastAsia"/>
          <w:b/>
          <w:bCs/>
          <w:color w:val="auto"/>
          <w:sz w:val="36"/>
          <w:szCs w:val="36"/>
        </w:rPr>
        <w:t>电    话：</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u w:val="single"/>
        </w:rPr>
      </w:pPr>
      <w:r>
        <w:rPr>
          <w:rFonts w:hint="default" w:ascii="Times New Roman" w:hAnsi="Times New Roman" w:cs="Times New Roman" w:eastAsiaTheme="minorEastAsia"/>
          <w:b/>
          <w:bCs/>
          <w:color w:val="auto"/>
          <w:sz w:val="36"/>
          <w:szCs w:val="36"/>
        </w:rPr>
        <w:t>传    真：</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rPr>
      </w:pPr>
      <w:r>
        <w:rPr>
          <w:rFonts w:hint="default" w:ascii="Times New Roman" w:hAnsi="Times New Roman" w:cs="Times New Roman" w:eastAsiaTheme="minorEastAsia"/>
          <w:b/>
          <w:bCs/>
          <w:color w:val="auto"/>
          <w:sz w:val="36"/>
          <w:szCs w:val="36"/>
        </w:rPr>
        <w:t>授权代表：</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rPr>
      </w:pPr>
      <w:r>
        <w:rPr>
          <w:rFonts w:hint="default" w:ascii="Times New Roman" w:hAnsi="Times New Roman" w:cs="Times New Roman" w:eastAsiaTheme="minorEastAsia"/>
          <w:b/>
          <w:bCs/>
          <w:color w:val="auto"/>
          <w:sz w:val="36"/>
          <w:szCs w:val="36"/>
        </w:rPr>
        <w:t>手    机：</w:t>
      </w:r>
      <w:r>
        <w:rPr>
          <w:rFonts w:hint="default" w:ascii="Times New Roman" w:hAnsi="Times New Roman" w:cs="Times New Roman" w:eastAsiaTheme="minorEastAsia"/>
          <w:b/>
          <w:bCs/>
          <w:color w:val="auto"/>
          <w:sz w:val="36"/>
          <w:szCs w:val="36"/>
          <w:u w:val="single"/>
        </w:rPr>
        <w:t xml:space="preserve">                          </w:t>
      </w:r>
    </w:p>
    <w:p>
      <w:pPr>
        <w:spacing w:line="600" w:lineRule="exact"/>
        <w:ind w:firstLine="1261" w:firstLineChars="349"/>
        <w:rPr>
          <w:rFonts w:hint="default" w:ascii="Times New Roman" w:hAnsi="Times New Roman" w:cs="Times New Roman" w:eastAsiaTheme="minorEastAsia"/>
          <w:b/>
          <w:bCs/>
          <w:color w:val="auto"/>
          <w:sz w:val="36"/>
          <w:szCs w:val="36"/>
          <w:u w:val="single"/>
          <w:lang w:val="pt-BR"/>
        </w:rPr>
      </w:pPr>
      <w:r>
        <w:rPr>
          <w:rFonts w:hint="default" w:ascii="Times New Roman" w:hAnsi="Times New Roman" w:cs="Times New Roman" w:eastAsiaTheme="minorEastAsia"/>
          <w:b/>
          <w:bCs/>
          <w:color w:val="auto"/>
          <w:sz w:val="36"/>
          <w:szCs w:val="36"/>
          <w:lang w:val="pt-BR"/>
        </w:rPr>
        <w:t>邮    箱：</w:t>
      </w:r>
      <w:r>
        <w:rPr>
          <w:rFonts w:hint="default" w:ascii="Times New Roman" w:hAnsi="Times New Roman" w:cs="Times New Roman" w:eastAsiaTheme="minorEastAsia"/>
          <w:b/>
          <w:bCs/>
          <w:color w:val="auto"/>
          <w:sz w:val="36"/>
          <w:szCs w:val="36"/>
          <w:u w:val="single"/>
          <w:lang w:val="pt-BR"/>
        </w:rPr>
        <w:t xml:space="preserve">                          </w:t>
      </w:r>
    </w:p>
    <w:p>
      <w:pPr>
        <w:pStyle w:val="16"/>
        <w:ind w:firstLine="2142" w:firstLineChars="595"/>
        <w:rPr>
          <w:rFonts w:hint="default" w:ascii="Times New Roman" w:hAnsi="Times New Roman" w:cs="Times New Roman" w:eastAsiaTheme="minorEastAsia"/>
          <w:color w:val="auto"/>
          <w:sz w:val="36"/>
          <w:szCs w:val="36"/>
          <w:lang w:val="pt-BR"/>
        </w:rPr>
      </w:pPr>
    </w:p>
    <w:p>
      <w:pPr>
        <w:pStyle w:val="16"/>
        <w:rPr>
          <w:rFonts w:hint="default" w:ascii="Times New Roman" w:hAnsi="Times New Roman" w:cs="Times New Roman" w:eastAsiaTheme="minorEastAsia"/>
          <w:color w:val="auto"/>
          <w:sz w:val="36"/>
          <w:szCs w:val="36"/>
          <w:lang w:val="pt-BR"/>
        </w:rPr>
      </w:pPr>
    </w:p>
    <w:p>
      <w:pPr>
        <w:pStyle w:val="16"/>
        <w:jc w:val="center"/>
        <w:rPr>
          <w:rFonts w:hint="default" w:ascii="Times New Roman" w:hAnsi="Times New Roman" w:cs="Times New Roman" w:eastAsiaTheme="minorEastAsia"/>
          <w:b/>
          <w:color w:val="auto"/>
          <w:sz w:val="36"/>
          <w:szCs w:val="36"/>
          <w:lang w:val="pt-BR"/>
        </w:rPr>
      </w:pPr>
      <w:r>
        <w:rPr>
          <w:rFonts w:hint="default" w:ascii="Times New Roman" w:hAnsi="Times New Roman" w:cs="Times New Roman" w:eastAsiaTheme="minorEastAsia"/>
          <w:b/>
          <w:color w:val="auto"/>
          <w:sz w:val="36"/>
          <w:szCs w:val="36"/>
        </w:rPr>
        <w:t>二0️  年   月   日</w:t>
      </w:r>
    </w:p>
    <w:p>
      <w:pPr>
        <w:spacing w:line="600" w:lineRule="exact"/>
        <w:rPr>
          <w:rFonts w:hint="default" w:ascii="Times New Roman" w:hAnsi="Times New Roman" w:cs="Times New Roman" w:eastAsiaTheme="minorEastAsia"/>
          <w:b/>
          <w:bCs/>
          <w:color w:val="auto"/>
          <w:szCs w:val="21"/>
          <w:lang w:val="pt-BR"/>
        </w:rPr>
      </w:pPr>
    </w:p>
    <w:p>
      <w:pPr>
        <w:widowControl/>
        <w:spacing w:before="156" w:beforeLines="50" w:after="156" w:afterLines="50" w:line="360" w:lineRule="auto"/>
        <w:jc w:val="center"/>
        <w:rPr>
          <w:rFonts w:hint="default" w:ascii="Times New Roman" w:hAnsi="Times New Roman" w:cs="Times New Roman" w:eastAsiaTheme="minorEastAsia"/>
          <w:b/>
          <w:color w:val="auto"/>
          <w:sz w:val="36"/>
          <w:szCs w:val="36"/>
        </w:rPr>
      </w:pPr>
      <w:r>
        <w:rPr>
          <w:rFonts w:hint="default" w:ascii="Times New Roman" w:hAnsi="Times New Roman" w:cs="Times New Roman" w:eastAsiaTheme="minorEastAsia"/>
          <w:color w:val="auto"/>
          <w:szCs w:val="21"/>
          <w:lang w:val="pt-BR"/>
        </w:rPr>
        <w:br w:type="page"/>
      </w:r>
      <w:r>
        <w:rPr>
          <w:rFonts w:hint="default" w:ascii="Times New Roman" w:hAnsi="Times New Roman" w:cs="Times New Roman" w:eastAsiaTheme="minorEastAsia"/>
          <w:color w:val="auto"/>
          <w:sz w:val="36"/>
          <w:szCs w:val="36"/>
          <w:lang w:val="pt-BR"/>
        </w:rPr>
        <w:t>一、</w:t>
      </w:r>
      <w:r>
        <w:rPr>
          <w:rFonts w:hint="default" w:ascii="Times New Roman" w:hAnsi="Times New Roman" w:cs="Times New Roman" w:eastAsiaTheme="minorEastAsia"/>
          <w:b/>
          <w:color w:val="auto"/>
          <w:sz w:val="36"/>
          <w:szCs w:val="36"/>
        </w:rPr>
        <w:t>投标函</w:t>
      </w:r>
    </w:p>
    <w:p>
      <w:pPr>
        <w:pStyle w:val="16"/>
        <w:spacing w:after="156" w:afterLines="50" w:line="44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szCs w:val="21"/>
        </w:rPr>
        <w:t>致:江苏开放大学</w:t>
      </w:r>
      <w:r>
        <w:rPr>
          <w:rFonts w:hint="default" w:ascii="Times New Roman" w:hAnsi="Times New Roman" w:cs="Times New Roman" w:eastAsiaTheme="minorEastAsia"/>
          <w:color w:val="auto"/>
          <w:kern w:val="0"/>
          <w:szCs w:val="21"/>
        </w:rPr>
        <w:t>招投标管理办公室</w:t>
      </w:r>
    </w:p>
    <w:p>
      <w:pPr>
        <w:pStyle w:val="80"/>
        <w:spacing w:before="0" w:after="0" w:line="420" w:lineRule="exact"/>
        <w:ind w:left="2115" w:leftChars="57" w:hanging="1995" w:hangingChars="95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根据贵方项目编号</w:t>
      </w:r>
      <w:r>
        <w:rPr>
          <w:rFonts w:hint="default" w:ascii="Times New Roman" w:hAnsi="Times New Roman" w:cs="Times New Roman" w:eastAsiaTheme="minorEastAsia"/>
          <w:color w:val="auto"/>
          <w:sz w:val="21"/>
          <w:szCs w:val="21"/>
          <w:u w:val="single"/>
        </w:rPr>
        <w:t xml:space="preserve">            </w:t>
      </w:r>
      <w:r>
        <w:rPr>
          <w:rFonts w:hint="default" w:ascii="Times New Roman" w:hAnsi="Times New Roman" w:cs="Times New Roman" w:eastAsiaTheme="minorEastAsia"/>
          <w:color w:val="auto"/>
          <w:sz w:val="21"/>
          <w:szCs w:val="21"/>
        </w:rPr>
        <w:t>投标邀请，正式授权下述签字人</w:t>
      </w:r>
      <w:r>
        <w:rPr>
          <w:rFonts w:hint="default" w:ascii="Times New Roman" w:hAnsi="Times New Roman" w:cs="Times New Roman" w:eastAsiaTheme="minorEastAsia"/>
          <w:color w:val="auto"/>
          <w:sz w:val="21"/>
          <w:szCs w:val="21"/>
          <w:u w:val="single"/>
        </w:rPr>
        <w:t xml:space="preserve">          </w:t>
      </w:r>
      <w:r>
        <w:rPr>
          <w:rFonts w:hint="default" w:ascii="Times New Roman" w:hAnsi="Times New Roman" w:cs="Times New Roman" w:eastAsiaTheme="minorEastAsia"/>
          <w:color w:val="auto"/>
          <w:sz w:val="21"/>
          <w:szCs w:val="21"/>
        </w:rPr>
        <w:t>（姓名和职务）</w:t>
      </w:r>
    </w:p>
    <w:p>
      <w:pPr>
        <w:pStyle w:val="80"/>
        <w:spacing w:before="0" w:after="0" w:line="420" w:lineRule="exact"/>
        <w:ind w:left="2115" w:leftChars="57" w:hanging="1995" w:hangingChars="95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代表</w:t>
      </w:r>
      <w:r>
        <w:rPr>
          <w:rFonts w:hint="default" w:ascii="Times New Roman" w:hAnsi="Times New Roman" w:cs="Times New Roman" w:eastAsiaTheme="minorEastAsia"/>
          <w:color w:val="auto"/>
          <w:sz w:val="21"/>
          <w:szCs w:val="21"/>
          <w:u w:val="single"/>
        </w:rPr>
        <w:t xml:space="preserve">                    </w:t>
      </w:r>
      <w:r>
        <w:rPr>
          <w:rFonts w:hint="default" w:ascii="Times New Roman" w:hAnsi="Times New Roman" w:cs="Times New Roman" w:eastAsiaTheme="minorEastAsia"/>
          <w:color w:val="auto"/>
          <w:sz w:val="21"/>
          <w:szCs w:val="21"/>
        </w:rPr>
        <w:t>（投标人单位名称），</w:t>
      </w:r>
      <w:r>
        <w:rPr>
          <w:rFonts w:hint="default" w:ascii="Times New Roman" w:hAnsi="Times New Roman" w:cs="Times New Roman" w:eastAsiaTheme="minorEastAsia"/>
          <w:color w:val="auto"/>
          <w:kern w:val="2"/>
          <w:sz w:val="21"/>
          <w:szCs w:val="21"/>
        </w:rPr>
        <w:t>全权处理本次项目投标的有关事宜。</w:t>
      </w:r>
    </w:p>
    <w:p>
      <w:pPr>
        <w:pStyle w:val="16"/>
        <w:spacing w:line="440" w:lineRule="exact"/>
        <w:ind w:firstLine="105" w:firstLineChars="5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据此函，签字人兹宣布</w:t>
      </w:r>
      <w:r>
        <w:rPr>
          <w:rFonts w:hint="default" w:ascii="Times New Roman" w:hAnsi="Times New Roman" w:cs="Times New Roman" w:eastAsiaTheme="minorEastAsia"/>
          <w:color w:val="auto"/>
          <w:szCs w:val="21"/>
          <w:lang w:val="zh-CN"/>
        </w:rPr>
        <w:t>同意如下</w:t>
      </w:r>
      <w:r>
        <w:rPr>
          <w:rFonts w:hint="default" w:ascii="Times New Roman" w:hAnsi="Times New Roman" w:cs="Times New Roman" w:eastAsiaTheme="minorEastAsia"/>
          <w:color w:val="auto"/>
          <w:szCs w:val="21"/>
        </w:rPr>
        <w:t>：</w:t>
      </w:r>
    </w:p>
    <w:p>
      <w:pPr>
        <w:tabs>
          <w:tab w:val="left" w:pos="7560"/>
        </w:tabs>
        <w:spacing w:line="440" w:lineRule="exact"/>
        <w:ind w:left="-359" w:leftChars="-171" w:firstLine="315" w:firstLineChars="15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（1）我们接受招标文件的所有的条款和规定。</w:t>
      </w:r>
    </w:p>
    <w:p>
      <w:pPr>
        <w:tabs>
          <w:tab w:val="left" w:pos="7560"/>
        </w:tabs>
        <w:spacing w:line="440" w:lineRule="exact"/>
        <w:ind w:left="-359" w:leftChars="-171" w:firstLine="315" w:firstLineChars="15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（5）我们同意向贵方提供贵方可能要求的与投标有关的任何证据或资料。</w:t>
      </w:r>
    </w:p>
    <w:p>
      <w:pPr>
        <w:pStyle w:val="16"/>
        <w:spacing w:line="440" w:lineRule="exact"/>
        <w:ind w:left="-359" w:leftChars="-171" w:firstLine="315" w:firstLineChars="15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hint="default" w:ascii="Times New Roman" w:hAnsi="Times New Roman" w:cs="Times New Roman" w:eastAsiaTheme="minorEastAsia"/>
          <w:color w:val="auto"/>
          <w:szCs w:val="21"/>
        </w:rPr>
      </w:pPr>
    </w:p>
    <w:p>
      <w:pPr>
        <w:pStyle w:val="16"/>
        <w:spacing w:line="440" w:lineRule="exact"/>
        <w:ind w:firstLine="3885" w:firstLineChars="1850"/>
        <w:rPr>
          <w:rFonts w:hint="default" w:ascii="Times New Roman" w:hAnsi="Times New Roman" w:cs="Times New Roman" w:eastAsiaTheme="minorEastAsia"/>
          <w:color w:val="auto"/>
          <w:szCs w:val="21"/>
          <w:u w:val="single"/>
        </w:rPr>
      </w:pPr>
      <w:r>
        <w:rPr>
          <w:rFonts w:hint="default" w:ascii="Times New Roman" w:hAnsi="Times New Roman" w:cs="Times New Roman" w:eastAsiaTheme="minorEastAsia"/>
          <w:color w:val="auto"/>
          <w:szCs w:val="21"/>
        </w:rPr>
        <w:t>投标人名称:</w:t>
      </w:r>
      <w:r>
        <w:rPr>
          <w:rFonts w:hint="default" w:ascii="Times New Roman" w:hAnsi="Times New Roman" w:cs="Times New Roman" w:eastAsiaTheme="minorEastAsia"/>
          <w:color w:val="auto"/>
          <w:szCs w:val="21"/>
          <w:u w:val="single"/>
        </w:rPr>
        <w:t xml:space="preserve">                     （公章）</w:t>
      </w:r>
    </w:p>
    <w:p>
      <w:pPr>
        <w:snapToGrid w:val="0"/>
        <w:spacing w:line="440" w:lineRule="exact"/>
        <w:ind w:firstLine="3885" w:firstLineChars="1850"/>
        <w:rPr>
          <w:rFonts w:hint="default" w:ascii="Times New Roman" w:hAnsi="Times New Roman" w:cs="Times New Roman" w:eastAsiaTheme="minorEastAsia"/>
          <w:color w:val="auto"/>
          <w:szCs w:val="21"/>
          <w:u w:val="single"/>
        </w:rPr>
      </w:pPr>
      <w:r>
        <w:rPr>
          <w:rFonts w:hint="default" w:ascii="Times New Roman" w:hAnsi="Times New Roman" w:cs="Times New Roman" w:eastAsiaTheme="minorEastAsia"/>
          <w:color w:val="auto"/>
          <w:szCs w:val="21"/>
        </w:rPr>
        <w:t>地址:</w:t>
      </w:r>
      <w:r>
        <w:rPr>
          <w:rFonts w:hint="default" w:ascii="Times New Roman" w:hAnsi="Times New Roman" w:cs="Times New Roman" w:eastAsiaTheme="minorEastAsia"/>
          <w:color w:val="auto"/>
          <w:szCs w:val="21"/>
          <w:u w:val="single"/>
        </w:rPr>
        <w:t xml:space="preserve">                                   </w:t>
      </w:r>
    </w:p>
    <w:p>
      <w:pPr>
        <w:snapToGrid w:val="0"/>
        <w:spacing w:line="440" w:lineRule="exact"/>
        <w:ind w:firstLine="3885" w:firstLineChars="1850"/>
        <w:rPr>
          <w:rFonts w:hint="default" w:ascii="Times New Roman" w:hAnsi="Times New Roman" w:cs="Times New Roman" w:eastAsiaTheme="minorEastAsia"/>
          <w:color w:val="auto"/>
          <w:szCs w:val="21"/>
          <w:u w:val="single"/>
        </w:rPr>
      </w:pPr>
      <w:r>
        <w:rPr>
          <w:rFonts w:hint="default" w:ascii="Times New Roman" w:hAnsi="Times New Roman" w:cs="Times New Roman" w:eastAsiaTheme="minorEastAsia"/>
          <w:color w:val="auto"/>
          <w:szCs w:val="21"/>
        </w:rPr>
        <w:t>电话:</w:t>
      </w:r>
      <w:r>
        <w:rPr>
          <w:rFonts w:hint="default" w:ascii="Times New Roman" w:hAnsi="Times New Roman" w:cs="Times New Roman" w:eastAsiaTheme="minorEastAsia"/>
          <w:color w:val="auto"/>
          <w:szCs w:val="21"/>
          <w:u w:val="single"/>
        </w:rPr>
        <w:t xml:space="preserve">                                   </w:t>
      </w:r>
    </w:p>
    <w:p>
      <w:pPr>
        <w:snapToGrid w:val="0"/>
        <w:spacing w:line="440" w:lineRule="exact"/>
        <w:ind w:firstLine="3885" w:firstLineChars="1850"/>
        <w:rPr>
          <w:rFonts w:hint="default" w:ascii="Times New Roman" w:hAnsi="Times New Roman" w:cs="Times New Roman" w:eastAsiaTheme="minorEastAsia"/>
          <w:color w:val="auto"/>
          <w:szCs w:val="21"/>
          <w:u w:val="single"/>
        </w:rPr>
      </w:pPr>
      <w:r>
        <w:rPr>
          <w:rFonts w:hint="default" w:ascii="Times New Roman" w:hAnsi="Times New Roman" w:cs="Times New Roman" w:eastAsiaTheme="minorEastAsia"/>
          <w:color w:val="auto"/>
          <w:szCs w:val="21"/>
        </w:rPr>
        <w:t>传真:</w:t>
      </w:r>
      <w:r>
        <w:rPr>
          <w:rFonts w:hint="default" w:ascii="Times New Roman" w:hAnsi="Times New Roman" w:cs="Times New Roman" w:eastAsiaTheme="minorEastAsia"/>
          <w:color w:val="auto"/>
          <w:szCs w:val="21"/>
          <w:u w:val="single"/>
        </w:rPr>
        <w:t xml:space="preserve">                                   </w:t>
      </w:r>
    </w:p>
    <w:p>
      <w:pPr>
        <w:pStyle w:val="16"/>
        <w:spacing w:line="440" w:lineRule="exact"/>
        <w:ind w:firstLine="3885" w:firstLineChars="1850"/>
        <w:rPr>
          <w:rFonts w:hint="default" w:ascii="Times New Roman" w:hAnsi="Times New Roman" w:cs="Times New Roman" w:eastAsiaTheme="minorEastAsia"/>
          <w:color w:val="auto"/>
          <w:szCs w:val="21"/>
          <w:u w:val="single"/>
        </w:rPr>
      </w:pPr>
      <w:r>
        <w:rPr>
          <w:rFonts w:hint="default" w:ascii="Times New Roman" w:hAnsi="Times New Roman" w:cs="Times New Roman" w:eastAsiaTheme="minorEastAsia"/>
          <w:color w:val="auto"/>
          <w:szCs w:val="21"/>
        </w:rPr>
        <w:t>授权代表（签字）:</w:t>
      </w:r>
      <w:r>
        <w:rPr>
          <w:rFonts w:hint="default" w:ascii="Times New Roman" w:hAnsi="Times New Roman" w:cs="Times New Roman" w:eastAsiaTheme="minorEastAsia"/>
          <w:color w:val="auto"/>
          <w:szCs w:val="21"/>
          <w:u w:val="single"/>
        </w:rPr>
        <w:t xml:space="preserve">                       </w:t>
      </w:r>
    </w:p>
    <w:p>
      <w:pPr>
        <w:pStyle w:val="16"/>
        <w:spacing w:line="440" w:lineRule="exact"/>
        <w:ind w:firstLine="3885" w:firstLineChars="18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职务:</w:t>
      </w:r>
      <w:r>
        <w:rPr>
          <w:rFonts w:hint="default" w:ascii="Times New Roman" w:hAnsi="Times New Roman" w:cs="Times New Roman" w:eastAsiaTheme="minorEastAsia"/>
          <w:color w:val="auto"/>
          <w:szCs w:val="21"/>
          <w:u w:val="single"/>
        </w:rPr>
        <w:t xml:space="preserve">                                   </w:t>
      </w:r>
    </w:p>
    <w:p>
      <w:pPr>
        <w:pStyle w:val="16"/>
        <w:spacing w:line="440" w:lineRule="exact"/>
        <w:ind w:firstLine="3885" w:firstLineChars="18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日期: </w:t>
      </w:r>
      <w:r>
        <w:rPr>
          <w:rFonts w:hint="default" w:ascii="Times New Roman" w:hAnsi="Times New Roman" w:cs="Times New Roman" w:eastAsiaTheme="minorEastAsia"/>
          <w:color w:val="auto"/>
          <w:szCs w:val="21"/>
          <w:u w:val="single"/>
        </w:rPr>
        <w:t xml:space="preserve">          </w:t>
      </w:r>
      <w:r>
        <w:rPr>
          <w:rFonts w:hint="default" w:ascii="Times New Roman" w:hAnsi="Times New Roman" w:cs="Times New Roman" w:eastAsiaTheme="minorEastAsia"/>
          <w:color w:val="auto"/>
          <w:szCs w:val="21"/>
        </w:rPr>
        <w:t>年</w:t>
      </w:r>
      <w:r>
        <w:rPr>
          <w:rFonts w:hint="default" w:ascii="Times New Roman" w:hAnsi="Times New Roman" w:cs="Times New Roman" w:eastAsiaTheme="minorEastAsia"/>
          <w:color w:val="auto"/>
          <w:szCs w:val="21"/>
          <w:u w:val="single"/>
        </w:rPr>
        <w:t xml:space="preserve">         </w:t>
      </w:r>
      <w:r>
        <w:rPr>
          <w:rFonts w:hint="default" w:ascii="Times New Roman" w:hAnsi="Times New Roman" w:cs="Times New Roman" w:eastAsiaTheme="minorEastAsia"/>
          <w:color w:val="auto"/>
          <w:szCs w:val="21"/>
        </w:rPr>
        <w:t>月</w:t>
      </w:r>
      <w:r>
        <w:rPr>
          <w:rFonts w:hint="default" w:ascii="Times New Roman" w:hAnsi="Times New Roman" w:cs="Times New Roman" w:eastAsiaTheme="minorEastAsia"/>
          <w:color w:val="auto"/>
          <w:szCs w:val="21"/>
          <w:u w:val="single"/>
        </w:rPr>
        <w:t xml:space="preserve">         </w:t>
      </w:r>
      <w:r>
        <w:rPr>
          <w:rFonts w:hint="default" w:ascii="Times New Roman" w:hAnsi="Times New Roman" w:cs="Times New Roman" w:eastAsiaTheme="minorEastAsia"/>
          <w:color w:val="auto"/>
          <w:szCs w:val="21"/>
        </w:rPr>
        <w:t>日</w:t>
      </w:r>
    </w:p>
    <w:p>
      <w:pPr>
        <w:widowControl/>
        <w:spacing w:before="19" w:line="440" w:lineRule="exact"/>
        <w:ind w:firstLine="1781" w:firstLineChars="845"/>
        <w:rPr>
          <w:rFonts w:hint="default" w:ascii="Times New Roman" w:hAnsi="Times New Roman" w:cs="Times New Roman" w:eastAsiaTheme="minorEastAsia"/>
          <w:b/>
          <w:color w:val="auto"/>
          <w:szCs w:val="21"/>
        </w:rPr>
      </w:pPr>
    </w:p>
    <w:p>
      <w:pPr>
        <w:pStyle w:val="16"/>
        <w:spacing w:line="440" w:lineRule="exact"/>
        <w:ind w:firstLine="3885" w:firstLineChars="1850"/>
        <w:rPr>
          <w:rFonts w:hint="default" w:ascii="Times New Roman" w:hAnsi="Times New Roman" w:cs="Times New Roman" w:eastAsiaTheme="minorEastAsia"/>
          <w:color w:val="auto"/>
          <w:szCs w:val="21"/>
        </w:rPr>
      </w:pPr>
    </w:p>
    <w:p>
      <w:pPr>
        <w:widowControl/>
        <w:spacing w:before="19" w:line="440" w:lineRule="exact"/>
        <w:ind w:firstLine="1781" w:firstLineChars="845"/>
        <w:rPr>
          <w:rFonts w:hint="default" w:ascii="Times New Roman" w:hAnsi="Times New Roman" w:cs="Times New Roman" w:eastAsiaTheme="minorEastAsia"/>
          <w:b/>
          <w:color w:val="auto"/>
          <w:szCs w:val="21"/>
        </w:rPr>
      </w:pPr>
    </w:p>
    <w:p>
      <w:pPr>
        <w:widowControl/>
        <w:spacing w:before="19" w:line="440" w:lineRule="exact"/>
        <w:ind w:firstLine="1781" w:firstLineChars="845"/>
        <w:rPr>
          <w:rFonts w:hint="default" w:ascii="Times New Roman" w:hAnsi="Times New Roman" w:cs="Times New Roman" w:eastAsiaTheme="minorEastAsia"/>
          <w:b/>
          <w:color w:val="auto"/>
          <w:szCs w:val="21"/>
        </w:rPr>
      </w:pPr>
    </w:p>
    <w:p>
      <w:pPr>
        <w:widowControl/>
        <w:spacing w:before="19" w:line="440" w:lineRule="exact"/>
        <w:ind w:firstLine="1781" w:firstLineChars="845"/>
        <w:rPr>
          <w:rFonts w:hint="default" w:ascii="Times New Roman" w:hAnsi="Times New Roman" w:cs="Times New Roman" w:eastAsiaTheme="minorEastAsia"/>
          <w:b/>
          <w:color w:val="auto"/>
          <w:szCs w:val="21"/>
        </w:rPr>
      </w:pPr>
    </w:p>
    <w:p>
      <w:pPr>
        <w:pStyle w:val="16"/>
        <w:numPr>
          <w:ilvl w:val="0"/>
          <w:numId w:val="7"/>
        </w:numPr>
        <w:jc w:val="center"/>
        <w:rPr>
          <w:rFonts w:hint="default" w:ascii="Times New Roman" w:hAnsi="Times New Roman" w:cs="Times New Roman" w:eastAsiaTheme="minorEastAsia"/>
          <w:color w:val="auto"/>
          <w:sz w:val="36"/>
          <w:szCs w:val="36"/>
        </w:rPr>
      </w:pPr>
      <w:bookmarkStart w:id="46" w:name="_Toc157775468"/>
      <w:r>
        <w:rPr>
          <w:rFonts w:hint="default" w:ascii="Times New Roman" w:hAnsi="Times New Roman" w:cs="Times New Roman" w:eastAsiaTheme="minorEastAsia"/>
          <w:b/>
          <w:color w:val="auto"/>
          <w:sz w:val="36"/>
          <w:szCs w:val="36"/>
        </w:rPr>
        <w:t>开标一览表</w:t>
      </w: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项目编号：    </w:t>
      </w:r>
    </w:p>
    <w:p>
      <w:pPr>
        <w:spacing w:line="440" w:lineRule="exact"/>
        <w:rPr>
          <w:rFonts w:hint="default" w:ascii="Times New Roman" w:hAnsi="Times New Roman" w:cs="Times New Roman" w:eastAsiaTheme="minorEastAsia"/>
          <w:color w:val="auto"/>
          <w:szCs w:val="21"/>
        </w:rPr>
      </w:pPr>
    </w:p>
    <w:tbl>
      <w:tblPr>
        <w:tblStyle w:val="28"/>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项目名称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投标总价</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大写：</w:t>
            </w:r>
          </w:p>
          <w:p>
            <w:pPr>
              <w:pStyle w:val="16"/>
              <w:spacing w:after="156" w:afterLines="50" w:line="440" w:lineRule="exact"/>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免费质保期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供货期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主要货物</w:t>
            </w:r>
          </w:p>
          <w:p>
            <w:pPr>
              <w:pStyle w:val="16"/>
              <w:spacing w:after="156" w:afterLines="50" w:line="4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生产者及产地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center"/>
              <w:rPr>
                <w:rFonts w:hint="eastAsia" w:hAnsi="宋体"/>
                <w:color w:val="auto"/>
                <w:szCs w:val="21"/>
              </w:rPr>
            </w:pPr>
            <w:r>
              <w:rPr>
                <w:rFonts w:hint="eastAsia" w:hAnsi="宋体"/>
                <w:color w:val="auto"/>
                <w:szCs w:val="21"/>
              </w:rPr>
              <w:t>投标人是否属于</w:t>
            </w:r>
          </w:p>
          <w:p>
            <w:pPr>
              <w:pStyle w:val="16"/>
              <w:spacing w:after="156" w:afterLines="50" w:line="360" w:lineRule="auto"/>
              <w:jc w:val="center"/>
              <w:rPr>
                <w:rFonts w:hint="default" w:ascii="宋体" w:hAnsi="宋体" w:eastAsia="宋体" w:cs="Times New Roman"/>
                <w:color w:val="auto"/>
                <w:kern w:val="2"/>
                <w:sz w:val="21"/>
                <w:szCs w:val="21"/>
                <w:lang w:val="en-US" w:eastAsia="zh-CN" w:bidi="ar-SA"/>
              </w:rPr>
            </w:pPr>
            <w:r>
              <w:rPr>
                <w:rFonts w:hint="eastAsia" w:hAnsi="宋体"/>
                <w:color w:val="auto"/>
                <w:szCs w:val="21"/>
              </w:rPr>
              <w:t>小微企业</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left"/>
              <w:rPr>
                <w:rFonts w:hint="default" w:ascii="宋体" w:hAnsi="宋体" w:eastAsia="宋体" w:cs="Times New Roman"/>
                <w:color w:val="auto"/>
                <w:kern w:val="2"/>
                <w:sz w:val="21"/>
                <w:szCs w:val="21"/>
                <w:lang w:val="en-US" w:eastAsia="zh-CN" w:bidi="ar-SA"/>
              </w:rPr>
            </w:pPr>
            <w:r>
              <w:rPr>
                <w:rFonts w:hAnsi="宋体" w:cs="宋体"/>
                <w:color w:val="auto"/>
                <w:szCs w:val="21"/>
                <w:u w:val="single"/>
              </w:rPr>
              <w:t xml:space="preserve">           </w:t>
            </w:r>
            <w:r>
              <w:rPr>
                <w:rFonts w:hint="eastAsia" w:hAnsi="宋体" w:cs="宋体"/>
                <w:color w:val="auto"/>
                <w:szCs w:val="21"/>
                <w:u w:val="single"/>
              </w:rPr>
              <w:t xml:space="preserve">   </w:t>
            </w:r>
            <w:r>
              <w:rPr>
                <w:rFonts w:hAnsi="宋体" w:cs="宋体"/>
                <w:color w:val="auto"/>
                <w:szCs w:val="21"/>
                <w:u w:val="single"/>
              </w:rPr>
              <w:t xml:space="preserve">         </w:t>
            </w:r>
            <w:r>
              <w:rPr>
                <w:rFonts w:hint="eastAsia" w:hAnsi="宋体" w:cs="宋体"/>
                <w:color w:val="auto"/>
                <w:szCs w:val="21"/>
              </w:rPr>
              <w:t>（</w:t>
            </w:r>
            <w:r>
              <w:rPr>
                <w:rFonts w:hint="eastAsia" w:hAnsi="宋体" w:cs="宋体"/>
                <w:color w:val="auto"/>
                <w:szCs w:val="21"/>
                <w:lang w:val="zh-CN"/>
              </w:rPr>
              <w:t>填写“是”或“否</w:t>
            </w:r>
            <w:r>
              <w:rPr>
                <w:rFonts w:hint="eastAsia" w:hAnsi="宋体" w:cs="宋体"/>
                <w:color w:val="auto"/>
                <w:szCs w:val="21"/>
              </w:rPr>
              <w:t>）</w:t>
            </w:r>
          </w:p>
        </w:tc>
      </w:tr>
    </w:tbl>
    <w:p>
      <w:pPr>
        <w:ind w:firstLine="480"/>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                                                 日期：       年   月   日</w:t>
      </w: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填写说明：</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1.开标一览表必须加盖投标单位公章（复印件无效），被授权代表签名；</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2.标书中要另附明细报价，且不可缺漏设备配置；</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3.如有分包，投标人投任何一个包的标的，都需单独填写开标一览表。</w:t>
      </w:r>
    </w:p>
    <w:p>
      <w:pPr>
        <w:spacing w:line="520" w:lineRule="exact"/>
        <w:ind w:firstLine="3570" w:firstLineChars="1700"/>
        <w:rPr>
          <w:rFonts w:hint="default" w:ascii="Times New Roman" w:hAnsi="Times New Roman" w:cs="Times New Roman" w:eastAsiaTheme="minorEastAsia"/>
          <w:color w:val="auto"/>
          <w:szCs w:val="21"/>
        </w:rPr>
      </w:pPr>
    </w:p>
    <w:p>
      <w:pPr>
        <w:spacing w:line="520" w:lineRule="exact"/>
        <w:ind w:firstLine="3570" w:firstLineChars="1700"/>
        <w:rPr>
          <w:rFonts w:hint="default" w:ascii="Times New Roman" w:hAnsi="Times New Roman" w:cs="Times New Roman" w:eastAsiaTheme="minorEastAsia"/>
          <w:color w:val="auto"/>
          <w:szCs w:val="21"/>
          <w:u w:val="single"/>
        </w:rPr>
      </w:pPr>
      <w:r>
        <w:rPr>
          <w:rFonts w:hint="default" w:ascii="Times New Roman" w:hAnsi="Times New Roman" w:cs="Times New Roman" w:eastAsiaTheme="minorEastAsia"/>
          <w:color w:val="auto"/>
          <w:szCs w:val="21"/>
        </w:rPr>
        <w:t>投标人：</w:t>
      </w:r>
      <w:r>
        <w:rPr>
          <w:rFonts w:hint="default" w:ascii="Times New Roman" w:hAnsi="Times New Roman" w:cs="Times New Roman" w:eastAsiaTheme="minorEastAsia"/>
          <w:color w:val="auto"/>
          <w:szCs w:val="21"/>
          <w:u w:val="single"/>
        </w:rPr>
        <w:t xml:space="preserve">                         （加盖公章）</w:t>
      </w:r>
    </w:p>
    <w:p>
      <w:pPr>
        <w:spacing w:line="520" w:lineRule="exact"/>
        <w:ind w:firstLine="3570" w:firstLineChars="1700"/>
        <w:rPr>
          <w:rFonts w:hint="default" w:ascii="Times New Roman" w:hAnsi="Times New Roman" w:cs="Times New Roman" w:eastAsiaTheme="minorEastAsia"/>
          <w:color w:val="auto"/>
          <w:szCs w:val="21"/>
          <w:u w:val="single"/>
        </w:rPr>
      </w:pPr>
      <w:r>
        <w:rPr>
          <w:rFonts w:hint="default" w:ascii="Times New Roman" w:hAnsi="Times New Roman" w:cs="Times New Roman" w:eastAsiaTheme="minorEastAsia"/>
          <w:color w:val="auto"/>
          <w:szCs w:val="21"/>
        </w:rPr>
        <w:t xml:space="preserve">法定代表人或其授权代表(签字)： </w:t>
      </w:r>
      <w:r>
        <w:rPr>
          <w:rFonts w:hint="default" w:ascii="Times New Roman" w:hAnsi="Times New Roman" w:cs="Times New Roman" w:eastAsiaTheme="minorEastAsia"/>
          <w:color w:val="auto"/>
          <w:szCs w:val="21"/>
          <w:u w:val="single"/>
        </w:rPr>
        <w:t xml:space="preserve">              </w:t>
      </w:r>
    </w:p>
    <w:p>
      <w:pPr>
        <w:spacing w:line="520" w:lineRule="exact"/>
        <w:ind w:firstLine="3570" w:firstLineChars="1700"/>
        <w:rPr>
          <w:rFonts w:hint="default" w:ascii="Times New Roman" w:hAnsi="Times New Roman" w:cs="Times New Roman" w:eastAsiaTheme="minorEastAsia"/>
          <w:color w:val="auto"/>
          <w:szCs w:val="21"/>
          <w:u w:val="single"/>
        </w:rPr>
      </w:pP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b/>
          <w:color w:val="auto"/>
          <w:sz w:val="32"/>
          <w:szCs w:val="32"/>
        </w:rPr>
        <w:t>资格性和符合性检查响应对照及评分索引表</w:t>
      </w:r>
    </w:p>
    <w:p>
      <w:pPr>
        <w:rPr>
          <w:rFonts w:hint="default" w:ascii="Times New Roman" w:hAnsi="Times New Roman" w:cs="Times New Roman" w:eastAsiaTheme="minorEastAsia"/>
          <w:color w:val="auto"/>
          <w:sz w:val="24"/>
        </w:rPr>
      </w:pPr>
    </w:p>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投标人全称（加盖公章）：</w:t>
      </w:r>
    </w:p>
    <w:p>
      <w:pPr>
        <w:ind w:firstLine="309"/>
        <w:rPr>
          <w:rFonts w:hint="default" w:ascii="Times New Roman" w:hAnsi="Times New Roman" w:cs="Times New Roman" w:eastAsiaTheme="minorEastAsia"/>
          <w:color w:val="auto"/>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是否响应</w:t>
            </w:r>
          </w:p>
          <w:p>
            <w:pPr>
              <w:snapToGrid w:val="0"/>
              <w:spacing w:line="240" w:lineRule="atLeas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投标文件中的</w:t>
            </w:r>
          </w:p>
          <w:p>
            <w:pPr>
              <w:snapToGrid w:val="0"/>
              <w:spacing w:line="240" w:lineRule="atLeas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Times New Roman" w:hAnsi="Times New Roman" w:cs="Times New Roman" w:eastAsiaTheme="minorEastAsia"/>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hint="default" w:ascii="Times New Roman" w:hAnsi="Times New Roman" w:cs="Times New Roman" w:eastAsiaTheme="minorEastAsia"/>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Times New Roman" w:hAnsi="Times New Roman" w:cs="Times New Roman" w:eastAsiaTheme="minorEastAsia"/>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hint="default" w:ascii="Times New Roman" w:hAnsi="Times New Roman" w:cs="Times New Roman" w:eastAsiaTheme="minorEastAsia"/>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hint="default" w:ascii="Times New Roman" w:hAnsi="Times New Roman" w:cs="Times New Roman" w:eastAsiaTheme="minorEastAsia"/>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hint="default" w:ascii="Times New Roman" w:hAnsi="Times New Roman" w:cs="Times New Roman" w:eastAsiaTheme="minorEastAsia"/>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cs="Times New Roman" w:eastAsiaTheme="minorEastAsia"/>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eastAsiaTheme="minorEastAsia"/>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eastAsiaTheme="minorEastAsia"/>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hint="default" w:ascii="Times New Roman" w:hAnsi="Times New Roman" w:cs="Times New Roman" w:eastAsiaTheme="minorEastAsia"/>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eastAsiaTheme="minorEastAsia"/>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eastAsiaTheme="minorEastAsia"/>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eastAsiaTheme="minorEastAsia"/>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hint="default" w:ascii="Times New Roman" w:hAnsi="Times New Roman" w:cs="Times New Roman" w:eastAsiaTheme="minorEastAsia"/>
                <w:b/>
                <w:bCs/>
                <w:color w:val="auto"/>
                <w:kern w:val="0"/>
                <w:sz w:val="24"/>
              </w:rPr>
            </w:pPr>
          </w:p>
        </w:tc>
      </w:tr>
    </w:tbl>
    <w:p>
      <w:pPr>
        <w:autoSpaceDE w:val="0"/>
        <w:autoSpaceDN w:val="0"/>
        <w:adjustRightInd w:val="0"/>
        <w:spacing w:line="360" w:lineRule="auto"/>
        <w:jc w:val="center"/>
        <w:rPr>
          <w:rFonts w:hint="default" w:ascii="Times New Roman" w:hAnsi="Times New Roman" w:cs="Times New Roman" w:eastAsiaTheme="minorEastAsia"/>
          <w:b/>
          <w:color w:val="auto"/>
          <w:kern w:val="0"/>
          <w:sz w:val="32"/>
          <w:szCs w:val="32"/>
        </w:rPr>
      </w:pPr>
    </w:p>
    <w:p>
      <w:pPr>
        <w:spacing w:line="520" w:lineRule="exact"/>
        <w:ind w:firstLine="3570" w:firstLineChars="1700"/>
        <w:rPr>
          <w:rFonts w:hint="default" w:ascii="Times New Roman" w:hAnsi="Times New Roman" w:cs="Times New Roman" w:eastAsiaTheme="minorEastAsia"/>
          <w:color w:val="auto"/>
          <w:szCs w:val="21"/>
          <w:u w:val="single"/>
        </w:rPr>
      </w:pPr>
    </w:p>
    <w:p>
      <w:pPr>
        <w:jc w:val="center"/>
        <w:rPr>
          <w:rFonts w:hint="default" w:ascii="Times New Roman" w:hAnsi="Times New Roman" w:cs="Times New Roman" w:eastAsiaTheme="minorEastAsia"/>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hint="default" w:ascii="Times New Roman" w:hAnsi="Times New Roman" w:cs="Times New Roman" w:eastAsiaTheme="minorEastAsia"/>
          <w:b/>
          <w:color w:val="auto"/>
          <w:sz w:val="36"/>
          <w:szCs w:val="36"/>
        </w:rPr>
      </w:pPr>
      <w:r>
        <w:rPr>
          <w:rFonts w:hint="default" w:ascii="Times New Roman" w:hAnsi="Times New Roman" w:cs="Times New Roman" w:eastAsiaTheme="minorEastAsia"/>
          <w:b/>
          <w:color w:val="auto"/>
          <w:sz w:val="36"/>
          <w:szCs w:val="36"/>
        </w:rPr>
        <w:t>三、</w:t>
      </w:r>
      <w:bookmarkEnd w:id="46"/>
      <w:bookmarkStart w:id="47" w:name="_Toc157775469"/>
      <w:r>
        <w:rPr>
          <w:rFonts w:hint="default" w:ascii="Times New Roman" w:hAnsi="Times New Roman" w:cs="Times New Roman" w:eastAsiaTheme="minorEastAsia"/>
          <w:b/>
          <w:color w:val="auto"/>
          <w:sz w:val="36"/>
          <w:szCs w:val="36"/>
        </w:rPr>
        <w:t>产品质保及服务承诺书</w:t>
      </w:r>
      <w:bookmarkStart w:id="48" w:name="_Toc417892821"/>
    </w:p>
    <w:p>
      <w:pPr>
        <w:ind w:firstLine="1575" w:firstLineChars="7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（格式由投标人自定、加盖投标人公章）</w:t>
      </w:r>
      <w:bookmarkEnd w:id="48"/>
    </w:p>
    <w:p>
      <w:pPr>
        <w:pStyle w:val="16"/>
        <w:spacing w:line="360" w:lineRule="auto"/>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b/>
          <w:color w:val="auto"/>
          <w:szCs w:val="21"/>
        </w:rPr>
        <w:t>须明确说明所投设备的质保期、保修情况。</w:t>
      </w:r>
    </w:p>
    <w:p>
      <w:pPr>
        <w:pStyle w:val="16"/>
        <w:spacing w:line="360" w:lineRule="auto"/>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注：如投标人未能提供上述资料或只出现“按原厂质保”字样，由此引发的后果投标人自行承担。</w:t>
      </w:r>
    </w:p>
    <w:p>
      <w:pPr>
        <w:pStyle w:val="16"/>
        <w:spacing w:line="360" w:lineRule="auto"/>
        <w:jc w:val="left"/>
        <w:rPr>
          <w:rFonts w:hint="default" w:ascii="Times New Roman" w:hAnsi="Times New Roman" w:cs="Times New Roman" w:eastAsiaTheme="minorEastAsia"/>
          <w:color w:val="auto"/>
          <w:szCs w:val="21"/>
        </w:rPr>
      </w:pPr>
    </w:p>
    <w:bookmarkEnd w:id="47"/>
    <w:p>
      <w:pPr>
        <w:ind w:firstLine="1995" w:firstLineChars="950"/>
        <w:rPr>
          <w:rFonts w:hint="default" w:ascii="Times New Roman" w:hAnsi="Times New Roman" w:cs="Times New Roman" w:eastAsiaTheme="minorEastAsia"/>
          <w:color w:val="auto"/>
          <w:szCs w:val="21"/>
        </w:rPr>
      </w:pPr>
    </w:p>
    <w:p>
      <w:pPr>
        <w:pStyle w:val="16"/>
        <w:spacing w:after="312" w:afterLines="100" w:line="440" w:lineRule="exact"/>
        <w:jc w:val="center"/>
        <w:rPr>
          <w:rFonts w:hint="default" w:ascii="Times New Roman" w:hAnsi="Times New Roman" w:cs="Times New Roman" w:eastAsiaTheme="minorEastAsia"/>
          <w:b/>
          <w:bCs/>
          <w:color w:val="auto"/>
          <w:sz w:val="36"/>
          <w:szCs w:val="36"/>
        </w:rPr>
      </w:pPr>
      <w:r>
        <w:rPr>
          <w:rFonts w:hint="default" w:ascii="Times New Roman" w:hAnsi="Times New Roman" w:cs="Times New Roman" w:eastAsiaTheme="minorEastAsia"/>
          <w:b/>
          <w:bCs/>
          <w:color w:val="auto"/>
          <w:sz w:val="36"/>
          <w:szCs w:val="36"/>
        </w:rPr>
        <w:t>四、资格证明文件(供</w:t>
      </w:r>
      <w:r>
        <w:rPr>
          <w:rFonts w:hint="default" w:ascii="Times New Roman" w:hAnsi="Times New Roman" w:cs="Times New Roman" w:eastAsiaTheme="minorEastAsia"/>
          <w:b/>
          <w:color w:val="auto"/>
          <w:sz w:val="36"/>
          <w:szCs w:val="36"/>
        </w:rPr>
        <w:t>资质审查时</w:t>
      </w:r>
      <w:r>
        <w:rPr>
          <w:rFonts w:hint="default" w:ascii="Times New Roman" w:hAnsi="Times New Roman" w:cs="Times New Roman" w:eastAsiaTheme="minorEastAsia"/>
          <w:b/>
          <w:bCs/>
          <w:color w:val="auto"/>
          <w:sz w:val="36"/>
          <w:szCs w:val="36"/>
        </w:rPr>
        <w:t>使用)</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2、具有良好的商业信誉和健全的财务会计制度（须提供财务状况报告）；</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3、具有履行合同所必需的设备和专业技术能力（须提供具备履行合同所必需的设备和专业技术能力的证明材料）；</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4、有依法缴纳税收和社会保障资金的良好记录（须提供依法缴纳税收和社会保障资金的相关材料)；</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6、投标代表提供下列材料之一：</w:t>
      </w:r>
    </w:p>
    <w:p>
      <w:pPr>
        <w:spacing w:line="440" w:lineRule="exact"/>
        <w:ind w:firstLine="315" w:firstLineChars="1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r>
        <w:rPr>
          <w:rFonts w:hint="default" w:ascii="Times New Roman" w:hAnsi="Times New Roman" w:cs="Times New Roman" w:eastAsiaTheme="minorEastAsia"/>
          <w:bCs/>
          <w:color w:val="auto"/>
          <w:szCs w:val="21"/>
        </w:rPr>
        <w:t>法定代表人身份证（复印件加盖</w:t>
      </w:r>
      <w:r>
        <w:rPr>
          <w:rFonts w:hint="default" w:ascii="Times New Roman" w:hAnsi="Times New Roman" w:cs="Times New Roman" w:eastAsiaTheme="minorEastAsia"/>
          <w:color w:val="auto"/>
          <w:szCs w:val="21"/>
        </w:rPr>
        <w:t>投标人</w:t>
      </w:r>
      <w:r>
        <w:rPr>
          <w:rFonts w:hint="default" w:ascii="Times New Roman" w:hAnsi="Times New Roman" w:cs="Times New Roman" w:eastAsiaTheme="minorEastAsia"/>
          <w:bCs/>
          <w:color w:val="auto"/>
          <w:szCs w:val="21"/>
        </w:rPr>
        <w:t>公章，原件备查）</w:t>
      </w:r>
      <w:r>
        <w:rPr>
          <w:rFonts w:hint="default" w:ascii="Times New Roman" w:hAnsi="Times New Roman" w:cs="Times New Roman" w:eastAsiaTheme="minorEastAsia"/>
          <w:color w:val="auto"/>
          <w:szCs w:val="21"/>
        </w:rPr>
        <w:t>；</w:t>
      </w:r>
    </w:p>
    <w:p>
      <w:pPr>
        <w:spacing w:line="440" w:lineRule="exact"/>
        <w:ind w:firstLine="315" w:firstLineChars="1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（2）授权委托书（原件、必须提供）和</w:t>
      </w:r>
      <w:r>
        <w:rPr>
          <w:rFonts w:hint="default" w:ascii="Times New Roman" w:hAnsi="Times New Roman" w:cs="Times New Roman" w:eastAsiaTheme="minorEastAsia"/>
          <w:bCs/>
          <w:color w:val="auto"/>
          <w:szCs w:val="21"/>
        </w:rPr>
        <w:t>授权代表本人身份证（复印件加盖</w:t>
      </w:r>
      <w:r>
        <w:rPr>
          <w:rFonts w:hint="default" w:ascii="Times New Roman" w:hAnsi="Times New Roman" w:cs="Times New Roman" w:eastAsiaTheme="minorEastAsia"/>
          <w:color w:val="auto"/>
          <w:szCs w:val="21"/>
        </w:rPr>
        <w:t>投标人</w:t>
      </w:r>
      <w:r>
        <w:rPr>
          <w:rFonts w:hint="default" w:ascii="Times New Roman" w:hAnsi="Times New Roman" w:cs="Times New Roman" w:eastAsiaTheme="minorEastAsia"/>
          <w:bCs/>
          <w:color w:val="auto"/>
          <w:szCs w:val="21"/>
        </w:rPr>
        <w:t>公章，原件备查）</w:t>
      </w:r>
      <w:r>
        <w:rPr>
          <w:rFonts w:hint="default" w:ascii="Times New Roman" w:hAnsi="Times New Roman" w:cs="Times New Roman" w:eastAsiaTheme="minorEastAsia"/>
          <w:color w:val="auto"/>
          <w:szCs w:val="21"/>
        </w:rPr>
        <w:t>。</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color w:val="auto"/>
          <w:szCs w:val="21"/>
        </w:rPr>
        <w:t>注:上述是资质审查时，投标人必须提供的资格证明文件，如未提供或发现投标人的资质条件不符合招标文件要求，将作为无效标处理。</w:t>
      </w:r>
      <w:r>
        <w:rPr>
          <w:rFonts w:hint="default" w:ascii="Times New Roman" w:hAnsi="Times New Roman" w:cs="Times New Roman" w:eastAsiaTheme="minorEastAsia"/>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hint="default" w:ascii="Times New Roman" w:hAnsi="Times New Roman" w:cs="Times New Roman" w:eastAsiaTheme="minorEastAsia"/>
          <w:bCs/>
          <w:color w:val="auto"/>
          <w:szCs w:val="21"/>
        </w:rPr>
      </w:pPr>
    </w:p>
    <w:p>
      <w:pPr>
        <w:spacing w:line="440" w:lineRule="exact"/>
        <w:ind w:firstLine="411" w:firstLineChars="196"/>
        <w:rPr>
          <w:rFonts w:hint="default" w:ascii="Times New Roman" w:hAnsi="Times New Roman" w:cs="Times New Roman" w:eastAsiaTheme="minorEastAsia"/>
          <w:bCs/>
          <w:color w:val="auto"/>
          <w:szCs w:val="21"/>
        </w:rPr>
      </w:pPr>
    </w:p>
    <w:p>
      <w:pPr>
        <w:spacing w:line="440" w:lineRule="exact"/>
        <w:ind w:firstLine="708" w:firstLineChars="196"/>
        <w:jc w:val="center"/>
        <w:rPr>
          <w:rFonts w:hint="default" w:ascii="Times New Roman" w:hAnsi="Times New Roman" w:cs="Times New Roman" w:eastAsiaTheme="minorEastAsia"/>
          <w:color w:val="auto"/>
          <w:sz w:val="36"/>
          <w:szCs w:val="36"/>
        </w:rPr>
      </w:pPr>
      <w:r>
        <w:rPr>
          <w:rFonts w:hint="default" w:ascii="Times New Roman" w:hAnsi="Times New Roman" w:cs="Times New Roman" w:eastAsiaTheme="minorEastAsia"/>
          <w:b/>
          <w:bCs/>
          <w:color w:val="auto"/>
          <w:sz w:val="36"/>
          <w:szCs w:val="36"/>
        </w:rPr>
        <w:t>五、投标人认为有必要提供并说明的其它资料</w:t>
      </w:r>
    </w:p>
    <w:p>
      <w:pPr>
        <w:widowControl/>
        <w:spacing w:line="440" w:lineRule="exact"/>
        <w:jc w:val="lef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color w:val="auto"/>
          <w:szCs w:val="21"/>
        </w:rPr>
        <w:t>（格式由投标人自定，加盖投标人公章。）</w:t>
      </w:r>
    </w:p>
    <w:p>
      <w:pPr>
        <w:jc w:val="center"/>
        <w:rPr>
          <w:rFonts w:hint="default" w:ascii="Times New Roman" w:hAnsi="Times New Roman" w:cs="Times New Roman" w:eastAsiaTheme="minorEastAsia"/>
          <w:b/>
          <w:color w:val="auto"/>
          <w:kern w:val="0"/>
          <w:sz w:val="36"/>
          <w:szCs w:val="36"/>
        </w:rPr>
      </w:pPr>
      <w:r>
        <w:rPr>
          <w:rFonts w:hint="default" w:ascii="Times New Roman" w:hAnsi="Times New Roman" w:cs="Times New Roman" w:eastAsiaTheme="minorEastAsia"/>
          <w:b/>
          <w:color w:val="auto"/>
          <w:szCs w:val="21"/>
        </w:rPr>
        <w:br w:type="page"/>
      </w:r>
      <w:r>
        <w:rPr>
          <w:rFonts w:hint="default" w:ascii="Times New Roman" w:hAnsi="Times New Roman" w:cs="Times New Roman" w:eastAsiaTheme="minorEastAsia"/>
          <w:b/>
          <w:color w:val="auto"/>
          <w:sz w:val="36"/>
          <w:szCs w:val="36"/>
        </w:rPr>
        <w:t>投标单位法定代表人授权委托书</w:t>
      </w:r>
    </w:p>
    <w:p>
      <w:pPr>
        <w:jc w:val="center"/>
        <w:rPr>
          <w:rFonts w:hint="default" w:ascii="Times New Roman" w:hAnsi="Times New Roman" w:cs="Times New Roman" w:eastAsiaTheme="minorEastAsia"/>
          <w:b/>
          <w:color w:val="auto"/>
          <w:sz w:val="36"/>
          <w:szCs w:val="36"/>
        </w:rPr>
      </w:pPr>
      <w:r>
        <w:rPr>
          <w:rFonts w:hint="default" w:ascii="Times New Roman" w:hAnsi="Times New Roman" w:cs="Times New Roman" w:eastAsiaTheme="minorEastAsia"/>
          <w:b/>
          <w:color w:val="auto"/>
          <w:sz w:val="36"/>
          <w:szCs w:val="36"/>
        </w:rPr>
        <w:t>授权委托书</w:t>
      </w:r>
    </w:p>
    <w:p>
      <w:pPr>
        <w:jc w:val="center"/>
        <w:rPr>
          <w:rFonts w:hint="default" w:ascii="Times New Roman" w:hAnsi="Times New Roman" w:cs="Times New Roman" w:eastAsiaTheme="minorEastAsia"/>
          <w:b/>
          <w:color w:val="auto"/>
          <w:sz w:val="36"/>
          <w:szCs w:val="36"/>
        </w:rPr>
      </w:pP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本授权委托书声明：</w:t>
      </w:r>
    </w:p>
    <w:p>
      <w:pPr>
        <w:spacing w:line="4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我           （姓名）系           （投标单位名称）的法定代表人，现授权        （单位名称）的         （姓名）为我单位代理人，以本单位的名义参加江苏开放大学（江苏城市职业学院）组织实施的编号为号的招标活动。代理人在开标、评标、合同签订过程中所签署的一切文件和处理与这有关的一切事务，我均予以承认。</w:t>
      </w:r>
    </w:p>
    <w:p>
      <w:pPr>
        <w:spacing w:line="4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代理人无转委托权。特此委托。</w:t>
      </w:r>
    </w:p>
    <w:p>
      <w:pPr>
        <w:spacing w:line="440" w:lineRule="exact"/>
        <w:rPr>
          <w:rFonts w:hint="default" w:ascii="Times New Roman" w:hAnsi="Times New Roman" w:cs="Times New Roman" w:eastAsiaTheme="minorEastAsia"/>
          <w:color w:val="auto"/>
          <w:szCs w:val="21"/>
        </w:rPr>
      </w:pPr>
    </w:p>
    <w:p>
      <w:pPr>
        <w:spacing w:line="440" w:lineRule="exact"/>
        <w:jc w:val="righ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（投标单位）法定代表人签字或盖章：</w:t>
      </w:r>
    </w:p>
    <w:p>
      <w:pPr>
        <w:spacing w:line="440" w:lineRule="exact"/>
        <w:jc w:val="righ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（投标单位）公章：</w:t>
      </w:r>
    </w:p>
    <w:p>
      <w:pPr>
        <w:spacing w:line="440" w:lineRule="exact"/>
        <w:jc w:val="righ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年</w:t>
      </w:r>
      <w:r>
        <w:rPr>
          <w:rFonts w:hint="default" w:ascii="Times New Roman" w:hAnsi="Times New Roman" w:cs="Times New Roman" w:eastAsiaTheme="minorEastAsia"/>
          <w:color w:val="auto"/>
          <w:szCs w:val="21"/>
        </w:rPr>
        <w:tab/>
      </w:r>
      <w:r>
        <w:rPr>
          <w:rFonts w:hint="default" w:ascii="Times New Roman" w:hAnsi="Times New Roman" w:cs="Times New Roman" w:eastAsiaTheme="minorEastAsia"/>
          <w:color w:val="auto"/>
          <w:szCs w:val="21"/>
        </w:rPr>
        <w:t xml:space="preserve">  月</w:t>
      </w:r>
      <w:r>
        <w:rPr>
          <w:rFonts w:hint="default" w:ascii="Times New Roman" w:hAnsi="Times New Roman" w:cs="Times New Roman" w:eastAsiaTheme="minorEastAsia"/>
          <w:color w:val="auto"/>
          <w:szCs w:val="21"/>
        </w:rPr>
        <w:tab/>
      </w:r>
      <w:r>
        <w:rPr>
          <w:rFonts w:hint="default" w:ascii="Times New Roman" w:hAnsi="Times New Roman" w:cs="Times New Roman" w:eastAsiaTheme="minorEastAsia"/>
          <w:color w:val="auto"/>
          <w:szCs w:val="21"/>
        </w:rPr>
        <w:t>日</w:t>
      </w:r>
    </w:p>
    <w:p>
      <w:pPr>
        <w:spacing w:line="440" w:lineRule="exact"/>
        <w:jc w:val="righ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jc w:val="center"/>
        <w:rPr>
          <w:rFonts w:hint="default" w:ascii="Times New Roman" w:hAnsi="Times New Roman" w:cs="Times New Roman" w:eastAsiaTheme="minorEastAsia"/>
          <w:b/>
          <w:color w:val="auto"/>
          <w:sz w:val="36"/>
          <w:szCs w:val="36"/>
        </w:rPr>
      </w:pPr>
      <w:r>
        <w:rPr>
          <w:rFonts w:hint="default" w:ascii="Times New Roman" w:hAnsi="Times New Roman" w:cs="Times New Roman" w:eastAsiaTheme="minorEastAsia"/>
          <w:b/>
          <w:color w:val="auto"/>
          <w:sz w:val="36"/>
          <w:szCs w:val="36"/>
        </w:rPr>
        <w:t>参加本项采购活动前 3 年内在经营活动中</w:t>
      </w:r>
    </w:p>
    <w:p>
      <w:pPr>
        <w:spacing w:line="440" w:lineRule="exact"/>
        <w:jc w:val="center"/>
        <w:rPr>
          <w:rFonts w:hint="default" w:ascii="Times New Roman" w:hAnsi="Times New Roman" w:cs="Times New Roman" w:eastAsiaTheme="minorEastAsia"/>
          <w:b/>
          <w:color w:val="auto"/>
          <w:sz w:val="36"/>
          <w:szCs w:val="36"/>
        </w:rPr>
      </w:pPr>
      <w:r>
        <w:rPr>
          <w:rFonts w:hint="default" w:ascii="Times New Roman" w:hAnsi="Times New Roman" w:cs="Times New Roman" w:eastAsiaTheme="minorEastAsia"/>
          <w:b/>
          <w:color w:val="auto"/>
          <w:sz w:val="36"/>
          <w:szCs w:val="36"/>
        </w:rPr>
        <w:t>没有重大违法记录的书面声明</w:t>
      </w:r>
    </w:p>
    <w:p>
      <w:pPr>
        <w:spacing w:line="440" w:lineRule="exact"/>
        <w:rPr>
          <w:rFonts w:hint="default" w:ascii="Times New Roman" w:hAnsi="Times New Roman" w:cs="Times New Roman" w:eastAsiaTheme="minorEastAsia"/>
          <w:b/>
          <w:color w:val="auto"/>
          <w:szCs w:val="21"/>
        </w:rPr>
      </w:pPr>
    </w:p>
    <w:p>
      <w:pPr>
        <w:spacing w:line="440" w:lineRule="exact"/>
        <w:rPr>
          <w:rFonts w:hint="default" w:ascii="Times New Roman" w:hAnsi="Times New Roman" w:cs="Times New Roman" w:eastAsiaTheme="minorEastAsia"/>
          <w:b/>
          <w:color w:val="auto"/>
          <w:szCs w:val="21"/>
        </w:rPr>
      </w:pPr>
    </w:p>
    <w:p>
      <w:pPr>
        <w:spacing w:line="440" w:lineRule="exact"/>
        <w:jc w:val="center"/>
        <w:rPr>
          <w:rFonts w:hint="default" w:ascii="Times New Roman" w:hAnsi="Times New Roman" w:cs="Times New Roman" w:eastAsiaTheme="minorEastAsia"/>
          <w:color w:val="auto"/>
          <w:sz w:val="36"/>
          <w:szCs w:val="36"/>
        </w:rPr>
      </w:pPr>
      <w:r>
        <w:rPr>
          <w:rFonts w:hint="default" w:ascii="Times New Roman" w:hAnsi="Times New Roman" w:cs="Times New Roman" w:eastAsiaTheme="minorEastAsia"/>
          <w:color w:val="auto"/>
          <w:sz w:val="36"/>
          <w:szCs w:val="36"/>
        </w:rPr>
        <w:t>声  明</w:t>
      </w:r>
    </w:p>
    <w:p>
      <w:pPr>
        <w:spacing w:line="44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                                      供应商名称（公章）：</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                                      授权代表签字：_______________________</w:t>
      </w:r>
    </w:p>
    <w:p>
      <w:pPr>
        <w:spacing w:line="4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                                      日期：______年    月    日</w:t>
      </w: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rPr>
          <w:rFonts w:hint="default" w:ascii="Times New Roman" w:hAnsi="Times New Roman" w:cs="Times New Roman" w:eastAsiaTheme="minorEastAsia"/>
          <w:color w:val="auto"/>
          <w:szCs w:val="21"/>
        </w:rPr>
      </w:pPr>
    </w:p>
    <w:p>
      <w:pPr>
        <w:spacing w:line="440" w:lineRule="exact"/>
        <w:jc w:val="center"/>
        <w:rPr>
          <w:rFonts w:hint="default" w:ascii="Times New Roman" w:hAnsi="Times New Roman" w:cs="Times New Roman" w:eastAsiaTheme="minorEastAsia"/>
          <w:b/>
          <w:color w:val="auto"/>
          <w:sz w:val="36"/>
          <w:szCs w:val="36"/>
        </w:rPr>
      </w:pPr>
      <w:r>
        <w:rPr>
          <w:rFonts w:hint="default" w:ascii="Times New Roman" w:hAnsi="Times New Roman" w:cs="Times New Roman" w:eastAsiaTheme="minorEastAsia"/>
          <w:b/>
          <w:color w:val="auto"/>
          <w:sz w:val="36"/>
          <w:szCs w:val="36"/>
        </w:rPr>
        <w:t>技术偏离表</w:t>
      </w:r>
    </w:p>
    <w:p>
      <w:pPr>
        <w:spacing w:after="120"/>
        <w:jc w:val="center"/>
        <w:rPr>
          <w:rFonts w:hint="default" w:ascii="Times New Roman" w:hAnsi="Times New Roman" w:cs="Times New Roman" w:eastAsiaTheme="minorEastAsia"/>
          <w:b/>
          <w:bCs/>
          <w:color w:val="auto"/>
          <w:sz w:val="32"/>
          <w:szCs w:val="32"/>
        </w:rPr>
      </w:pPr>
    </w:p>
    <w:p>
      <w:pPr>
        <w:spacing w:after="120"/>
        <w:ind w:firstLine="210" w:firstLineChars="100"/>
        <w:rPr>
          <w:rFonts w:hint="default" w:ascii="Times New Roman" w:hAnsi="Times New Roman" w:cs="Times New Roman" w:eastAsiaTheme="minorEastAsia"/>
          <w:color w:val="auto"/>
          <w:u w:val="single"/>
        </w:rPr>
      </w:pPr>
      <w:r>
        <w:rPr>
          <w:rFonts w:hint="default" w:ascii="Times New Roman" w:hAnsi="Times New Roman" w:cs="Times New Roman" w:eastAsiaTheme="minorEastAsia"/>
          <w:color w:val="auto"/>
        </w:rPr>
        <w:t>项目名称：</w:t>
      </w:r>
      <w:r>
        <w:rPr>
          <w:rFonts w:hint="default" w:ascii="Times New Roman" w:hAnsi="Times New Roman" w:cs="Times New Roman" w:eastAsiaTheme="minorEastAsia"/>
          <w:color w:val="auto"/>
          <w:u w:val="single"/>
        </w:rPr>
        <w:t xml:space="preserve">                   </w:t>
      </w:r>
      <w:r>
        <w:rPr>
          <w:rFonts w:hint="default" w:ascii="Times New Roman" w:hAnsi="Times New Roman" w:cs="Times New Roman" w:eastAsiaTheme="minorEastAsia"/>
          <w:color w:val="auto"/>
        </w:rPr>
        <w:t xml:space="preserve">  招标编号：</w:t>
      </w:r>
      <w:r>
        <w:rPr>
          <w:rFonts w:hint="default" w:ascii="Times New Roman" w:hAnsi="Times New Roman" w:cs="Times New Roman" w:eastAsiaTheme="minorEastAsia"/>
          <w:color w:val="auto"/>
          <w:u w:val="single"/>
        </w:rPr>
        <w:t xml:space="preserve">            </w:t>
      </w:r>
    </w:p>
    <w:p>
      <w:pPr>
        <w:spacing w:after="120"/>
        <w:ind w:firstLine="210" w:firstLineChars="100"/>
        <w:rPr>
          <w:rFonts w:hint="default" w:ascii="Times New Roman" w:hAnsi="Times New Roman" w:cs="Times New Roman" w:eastAsiaTheme="minorEastAsia"/>
          <w:color w:val="auto"/>
          <w:u w:val="single"/>
        </w:rPr>
      </w:pPr>
    </w:p>
    <w:tbl>
      <w:tblPr>
        <w:tblStyle w:val="2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序号</w:t>
            </w:r>
          </w:p>
        </w:tc>
        <w:tc>
          <w:tcPr>
            <w:tcW w:w="1902"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货物名称</w:t>
            </w:r>
          </w:p>
        </w:tc>
        <w:tc>
          <w:tcPr>
            <w:tcW w:w="1548"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招标要求</w:t>
            </w:r>
          </w:p>
        </w:tc>
        <w:tc>
          <w:tcPr>
            <w:tcW w:w="3272"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投标技术参数</w:t>
            </w:r>
          </w:p>
        </w:tc>
        <w:tc>
          <w:tcPr>
            <w:tcW w:w="1381"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是否偏离</w:t>
            </w:r>
          </w:p>
        </w:tc>
        <w:tc>
          <w:tcPr>
            <w:tcW w:w="745"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hint="default" w:ascii="Times New Roman" w:hAnsi="Times New Roman" w:cs="Times New Roman" w:eastAsiaTheme="minorEastAsia"/>
                <w:color w:val="auto"/>
                <w:sz w:val="24"/>
              </w:rPr>
            </w:pPr>
          </w:p>
        </w:tc>
        <w:tc>
          <w:tcPr>
            <w:tcW w:w="1902" w:type="dxa"/>
          </w:tcPr>
          <w:p>
            <w:pPr>
              <w:pStyle w:val="16"/>
              <w:spacing w:line="360" w:lineRule="auto"/>
              <w:rPr>
                <w:rFonts w:hint="default" w:ascii="Times New Roman" w:hAnsi="Times New Roman" w:cs="Times New Roman" w:eastAsiaTheme="minorEastAsia"/>
                <w:color w:val="auto"/>
                <w:sz w:val="24"/>
              </w:rPr>
            </w:pPr>
          </w:p>
        </w:tc>
        <w:tc>
          <w:tcPr>
            <w:tcW w:w="1548" w:type="dxa"/>
          </w:tcPr>
          <w:p>
            <w:pPr>
              <w:pStyle w:val="16"/>
              <w:spacing w:line="360" w:lineRule="auto"/>
              <w:rPr>
                <w:rFonts w:hint="default" w:ascii="Times New Roman" w:hAnsi="Times New Roman" w:cs="Times New Roman" w:eastAsiaTheme="minorEastAsia"/>
                <w:color w:val="auto"/>
                <w:sz w:val="24"/>
              </w:rPr>
            </w:pPr>
          </w:p>
        </w:tc>
        <w:tc>
          <w:tcPr>
            <w:tcW w:w="3272" w:type="dxa"/>
          </w:tcPr>
          <w:p>
            <w:pPr>
              <w:pStyle w:val="16"/>
              <w:spacing w:line="360" w:lineRule="auto"/>
              <w:rPr>
                <w:rFonts w:hint="default" w:ascii="Times New Roman" w:hAnsi="Times New Roman" w:cs="Times New Roman" w:eastAsiaTheme="minorEastAsia"/>
                <w:color w:val="auto"/>
                <w:sz w:val="24"/>
              </w:rPr>
            </w:pPr>
          </w:p>
        </w:tc>
        <w:tc>
          <w:tcPr>
            <w:tcW w:w="1381" w:type="dxa"/>
          </w:tcPr>
          <w:p>
            <w:pPr>
              <w:pStyle w:val="16"/>
              <w:spacing w:line="360" w:lineRule="auto"/>
              <w:rPr>
                <w:rFonts w:hint="default" w:ascii="Times New Roman" w:hAnsi="Times New Roman" w:cs="Times New Roman" w:eastAsiaTheme="minorEastAsia"/>
                <w:color w:val="auto"/>
                <w:sz w:val="24"/>
              </w:rPr>
            </w:pPr>
          </w:p>
        </w:tc>
        <w:tc>
          <w:tcPr>
            <w:tcW w:w="745" w:type="dxa"/>
          </w:tcPr>
          <w:p>
            <w:pPr>
              <w:pStyle w:val="16"/>
              <w:spacing w:line="360" w:lineRule="auto"/>
              <w:rPr>
                <w:rFonts w:hint="default" w:ascii="Times New Roman" w:hAnsi="Times New Roman" w:cs="Times New Roman"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hint="default" w:ascii="Times New Roman" w:hAnsi="Times New Roman" w:cs="Times New Roman" w:eastAsiaTheme="minorEastAsia"/>
                <w:color w:val="auto"/>
                <w:sz w:val="24"/>
              </w:rPr>
            </w:pPr>
          </w:p>
        </w:tc>
        <w:tc>
          <w:tcPr>
            <w:tcW w:w="1902" w:type="dxa"/>
          </w:tcPr>
          <w:p>
            <w:pPr>
              <w:pStyle w:val="16"/>
              <w:spacing w:line="360" w:lineRule="auto"/>
              <w:rPr>
                <w:rFonts w:hint="default" w:ascii="Times New Roman" w:hAnsi="Times New Roman" w:cs="Times New Roman" w:eastAsiaTheme="minorEastAsia"/>
                <w:color w:val="auto"/>
                <w:sz w:val="24"/>
              </w:rPr>
            </w:pPr>
          </w:p>
        </w:tc>
        <w:tc>
          <w:tcPr>
            <w:tcW w:w="1548" w:type="dxa"/>
          </w:tcPr>
          <w:p>
            <w:pPr>
              <w:pStyle w:val="16"/>
              <w:spacing w:line="360" w:lineRule="auto"/>
              <w:rPr>
                <w:rFonts w:hint="default" w:ascii="Times New Roman" w:hAnsi="Times New Roman" w:cs="Times New Roman" w:eastAsiaTheme="minorEastAsia"/>
                <w:color w:val="auto"/>
                <w:sz w:val="24"/>
              </w:rPr>
            </w:pPr>
          </w:p>
        </w:tc>
        <w:tc>
          <w:tcPr>
            <w:tcW w:w="3272" w:type="dxa"/>
          </w:tcPr>
          <w:p>
            <w:pPr>
              <w:pStyle w:val="16"/>
              <w:spacing w:line="360" w:lineRule="auto"/>
              <w:rPr>
                <w:rFonts w:hint="default" w:ascii="Times New Roman" w:hAnsi="Times New Roman" w:cs="Times New Roman" w:eastAsiaTheme="minorEastAsia"/>
                <w:color w:val="auto"/>
                <w:sz w:val="24"/>
              </w:rPr>
            </w:pPr>
          </w:p>
        </w:tc>
        <w:tc>
          <w:tcPr>
            <w:tcW w:w="1381" w:type="dxa"/>
          </w:tcPr>
          <w:p>
            <w:pPr>
              <w:pStyle w:val="16"/>
              <w:spacing w:line="360" w:lineRule="auto"/>
              <w:rPr>
                <w:rFonts w:hint="default" w:ascii="Times New Roman" w:hAnsi="Times New Roman" w:cs="Times New Roman" w:eastAsiaTheme="minorEastAsia"/>
                <w:color w:val="auto"/>
                <w:sz w:val="24"/>
              </w:rPr>
            </w:pPr>
          </w:p>
        </w:tc>
        <w:tc>
          <w:tcPr>
            <w:tcW w:w="745" w:type="dxa"/>
          </w:tcPr>
          <w:p>
            <w:pPr>
              <w:pStyle w:val="16"/>
              <w:spacing w:line="360" w:lineRule="auto"/>
              <w:rPr>
                <w:rFonts w:hint="default" w:ascii="Times New Roman" w:hAnsi="Times New Roman" w:cs="Times New Roman"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hint="default" w:ascii="Times New Roman" w:hAnsi="Times New Roman" w:cs="Times New Roman" w:eastAsiaTheme="minorEastAsia"/>
                <w:color w:val="auto"/>
                <w:sz w:val="24"/>
              </w:rPr>
            </w:pPr>
          </w:p>
        </w:tc>
        <w:tc>
          <w:tcPr>
            <w:tcW w:w="1902" w:type="dxa"/>
          </w:tcPr>
          <w:p>
            <w:pPr>
              <w:pStyle w:val="16"/>
              <w:spacing w:line="360" w:lineRule="auto"/>
              <w:rPr>
                <w:rFonts w:hint="default" w:ascii="Times New Roman" w:hAnsi="Times New Roman" w:cs="Times New Roman" w:eastAsiaTheme="minorEastAsia"/>
                <w:color w:val="auto"/>
                <w:sz w:val="24"/>
              </w:rPr>
            </w:pPr>
          </w:p>
        </w:tc>
        <w:tc>
          <w:tcPr>
            <w:tcW w:w="1548" w:type="dxa"/>
          </w:tcPr>
          <w:p>
            <w:pPr>
              <w:pStyle w:val="16"/>
              <w:spacing w:line="360" w:lineRule="auto"/>
              <w:rPr>
                <w:rFonts w:hint="default" w:ascii="Times New Roman" w:hAnsi="Times New Roman" w:cs="Times New Roman" w:eastAsiaTheme="minorEastAsia"/>
                <w:color w:val="auto"/>
                <w:sz w:val="24"/>
              </w:rPr>
            </w:pPr>
          </w:p>
        </w:tc>
        <w:tc>
          <w:tcPr>
            <w:tcW w:w="3272" w:type="dxa"/>
          </w:tcPr>
          <w:p>
            <w:pPr>
              <w:pStyle w:val="16"/>
              <w:spacing w:line="360" w:lineRule="auto"/>
              <w:rPr>
                <w:rFonts w:hint="default" w:ascii="Times New Roman" w:hAnsi="Times New Roman" w:cs="Times New Roman" w:eastAsiaTheme="minorEastAsia"/>
                <w:color w:val="auto"/>
                <w:sz w:val="24"/>
              </w:rPr>
            </w:pPr>
          </w:p>
        </w:tc>
        <w:tc>
          <w:tcPr>
            <w:tcW w:w="1381" w:type="dxa"/>
          </w:tcPr>
          <w:p>
            <w:pPr>
              <w:pStyle w:val="16"/>
              <w:spacing w:line="360" w:lineRule="auto"/>
              <w:rPr>
                <w:rFonts w:hint="default" w:ascii="Times New Roman" w:hAnsi="Times New Roman" w:cs="Times New Roman" w:eastAsiaTheme="minorEastAsia"/>
                <w:color w:val="auto"/>
                <w:sz w:val="24"/>
              </w:rPr>
            </w:pPr>
          </w:p>
        </w:tc>
        <w:tc>
          <w:tcPr>
            <w:tcW w:w="745" w:type="dxa"/>
          </w:tcPr>
          <w:p>
            <w:pPr>
              <w:pStyle w:val="16"/>
              <w:spacing w:line="360" w:lineRule="auto"/>
              <w:rPr>
                <w:rFonts w:hint="default" w:ascii="Times New Roman" w:hAnsi="Times New Roman" w:cs="Times New Roman" w:eastAsiaTheme="minorEastAsia"/>
                <w:color w:val="auto"/>
                <w:sz w:val="24"/>
              </w:rPr>
            </w:pPr>
          </w:p>
        </w:tc>
      </w:tr>
    </w:tbl>
    <w:p>
      <w:pPr>
        <w:snapToGrid w:val="0"/>
        <w:spacing w:line="240" w:lineRule="atLeast"/>
        <w:rPr>
          <w:rFonts w:hint="default" w:ascii="Times New Roman" w:hAnsi="Times New Roman" w:cs="Times New Roman" w:eastAsiaTheme="minorEastAsia"/>
          <w:b/>
          <w:color w:val="auto"/>
          <w:sz w:val="28"/>
          <w:szCs w:val="28"/>
        </w:rPr>
      </w:pPr>
    </w:p>
    <w:p>
      <w:pPr>
        <w:spacing w:line="4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须加盖报价单位公章。</w:t>
      </w:r>
    </w:p>
    <w:p>
      <w:pPr>
        <w:spacing w:line="440" w:lineRule="exact"/>
        <w:ind w:firstLine="420" w:firstLineChars="200"/>
        <w:rPr>
          <w:rFonts w:hint="default" w:ascii="Times New Roman" w:hAnsi="Times New Roman" w:cs="Times New Roman" w:eastAsiaTheme="minorEastAsia"/>
          <w:color w:val="auto"/>
          <w:szCs w:val="21"/>
        </w:rPr>
      </w:pPr>
    </w:p>
    <w:p>
      <w:pPr>
        <w:spacing w:line="440" w:lineRule="exact"/>
        <w:ind w:firstLine="420" w:firstLineChars="200"/>
        <w:rPr>
          <w:rFonts w:hint="default" w:ascii="Times New Roman" w:hAnsi="Times New Roman" w:cs="Times New Roman" w:eastAsiaTheme="minorEastAsia"/>
          <w:color w:val="auto"/>
          <w:szCs w:val="21"/>
        </w:rPr>
      </w:pPr>
    </w:p>
    <w:p>
      <w:pPr>
        <w:spacing w:line="440" w:lineRule="exact"/>
        <w:ind w:firstLine="420" w:firstLineChars="200"/>
        <w:rPr>
          <w:rFonts w:hint="default" w:ascii="Times New Roman" w:hAnsi="Times New Roman" w:cs="Times New Roman" w:eastAsiaTheme="minorEastAsia"/>
          <w:color w:val="auto"/>
          <w:szCs w:val="21"/>
        </w:rPr>
      </w:pPr>
    </w:p>
    <w:p>
      <w:pPr>
        <w:spacing w:line="440" w:lineRule="exact"/>
        <w:ind w:firstLine="420" w:firstLineChars="200"/>
        <w:rPr>
          <w:rFonts w:hint="default" w:ascii="Times New Roman" w:hAnsi="Times New Roman" w:cs="Times New Roman" w:eastAsiaTheme="minorEastAsia"/>
          <w:color w:val="auto"/>
          <w:szCs w:val="21"/>
        </w:rPr>
      </w:pPr>
    </w:p>
    <w:p>
      <w:pPr>
        <w:tabs>
          <w:tab w:val="left" w:pos="5812"/>
        </w:tabs>
        <w:spacing w:line="440" w:lineRule="exact"/>
        <w:ind w:firstLine="5810" w:firstLineChars="2767"/>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报价单位盖章：</w:t>
      </w:r>
    </w:p>
    <w:p>
      <w:pPr>
        <w:tabs>
          <w:tab w:val="left" w:pos="5812"/>
        </w:tabs>
        <w:spacing w:line="440" w:lineRule="exact"/>
        <w:ind w:firstLine="5810" w:firstLineChars="2767"/>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法人代表签字：</w:t>
      </w:r>
    </w:p>
    <w:p>
      <w:pPr>
        <w:tabs>
          <w:tab w:val="left" w:pos="5812"/>
        </w:tabs>
        <w:spacing w:line="440" w:lineRule="exact"/>
        <w:ind w:firstLine="5810" w:firstLineChars="2767"/>
        <w:rPr>
          <w:rFonts w:hint="default" w:ascii="Times New Roman" w:hAnsi="Times New Roman" w:cs="Times New Roman" w:eastAsiaTheme="minorEastAsia"/>
          <w:color w:val="auto"/>
          <w:szCs w:val="21"/>
        </w:rPr>
      </w:pPr>
    </w:p>
    <w:p>
      <w:pPr>
        <w:tabs>
          <w:tab w:val="left" w:pos="5812"/>
        </w:tabs>
        <w:spacing w:line="440" w:lineRule="exact"/>
        <w:ind w:firstLine="7700" w:firstLineChars="3667"/>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年    月    日</w:t>
      </w:r>
    </w:p>
    <w:p>
      <w:pPr>
        <w:tabs>
          <w:tab w:val="left" w:pos="5812"/>
        </w:tabs>
        <w:spacing w:line="440" w:lineRule="exact"/>
        <w:ind w:firstLine="5810" w:firstLineChars="2767"/>
        <w:rPr>
          <w:rFonts w:hint="default" w:ascii="Times New Roman" w:hAnsi="Times New Roman" w:cs="Times New Roman" w:eastAsiaTheme="minorEastAsia"/>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hint="default" w:ascii="Times New Roman" w:hAnsi="Times New Roman" w:cs="Times New Roman" w:eastAsiaTheme="minorEastAsia"/>
          <w:b/>
          <w:color w:val="auto"/>
          <w:sz w:val="36"/>
          <w:szCs w:val="36"/>
        </w:rPr>
      </w:pPr>
      <w:r>
        <w:rPr>
          <w:rFonts w:hint="default" w:ascii="Times New Roman" w:hAnsi="Times New Roman" w:cs="Times New Roman" w:eastAsiaTheme="minorEastAsia"/>
          <w:b/>
          <w:color w:val="auto"/>
          <w:sz w:val="36"/>
          <w:szCs w:val="36"/>
        </w:rPr>
        <w:t>项目清单及分项报价表</w:t>
      </w:r>
    </w:p>
    <w:p>
      <w:pPr>
        <w:spacing w:after="120"/>
        <w:jc w:val="center"/>
        <w:rPr>
          <w:rFonts w:hint="default" w:ascii="Times New Roman" w:hAnsi="Times New Roman" w:cs="Times New Roman" w:eastAsiaTheme="minorEastAsia"/>
          <w:b/>
          <w:bCs/>
          <w:color w:val="auto"/>
          <w:sz w:val="32"/>
          <w:szCs w:val="32"/>
        </w:rPr>
      </w:pPr>
    </w:p>
    <w:p>
      <w:pPr>
        <w:spacing w:after="120"/>
        <w:ind w:firstLine="210" w:firstLineChars="100"/>
        <w:rPr>
          <w:rFonts w:hint="default" w:ascii="Times New Roman" w:hAnsi="Times New Roman" w:cs="Times New Roman" w:eastAsiaTheme="minorEastAsia"/>
          <w:color w:val="auto"/>
          <w:u w:val="single"/>
        </w:rPr>
      </w:pPr>
      <w:r>
        <w:rPr>
          <w:rFonts w:hint="default" w:ascii="Times New Roman" w:hAnsi="Times New Roman" w:cs="Times New Roman" w:eastAsiaTheme="minorEastAsia"/>
          <w:color w:val="auto"/>
        </w:rPr>
        <w:t>项目名称：</w:t>
      </w:r>
      <w:r>
        <w:rPr>
          <w:rFonts w:hint="default" w:ascii="Times New Roman" w:hAnsi="Times New Roman" w:cs="Times New Roman" w:eastAsiaTheme="minorEastAsia"/>
          <w:color w:val="auto"/>
          <w:u w:val="single"/>
        </w:rPr>
        <w:t xml:space="preserve">                    </w:t>
      </w:r>
      <w:r>
        <w:rPr>
          <w:rFonts w:hint="default" w:ascii="Times New Roman" w:hAnsi="Times New Roman" w:cs="Times New Roman" w:eastAsiaTheme="minorEastAsia"/>
          <w:color w:val="auto"/>
        </w:rPr>
        <w:t>招标编号：</w:t>
      </w:r>
      <w:r>
        <w:rPr>
          <w:rFonts w:hint="default" w:ascii="Times New Roman" w:hAnsi="Times New Roman" w:cs="Times New Roman" w:eastAsiaTheme="minorEastAsia"/>
          <w:color w:val="auto"/>
          <w:u w:val="single"/>
        </w:rPr>
        <w:t xml:space="preserve">            </w:t>
      </w:r>
    </w:p>
    <w:p>
      <w:pPr>
        <w:spacing w:after="120"/>
        <w:ind w:firstLine="210" w:firstLineChars="100"/>
        <w:rPr>
          <w:rFonts w:hint="default" w:ascii="Times New Roman" w:hAnsi="Times New Roman" w:cs="Times New Roman" w:eastAsiaTheme="minorEastAsia"/>
          <w:color w:val="auto"/>
          <w:u w:val="single"/>
        </w:rPr>
      </w:pPr>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序号</w:t>
            </w:r>
          </w:p>
        </w:tc>
        <w:tc>
          <w:tcPr>
            <w:tcW w:w="2595"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货物名称</w:t>
            </w:r>
          </w:p>
        </w:tc>
        <w:tc>
          <w:tcPr>
            <w:tcW w:w="1260"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规格型号</w:t>
            </w:r>
          </w:p>
        </w:tc>
        <w:tc>
          <w:tcPr>
            <w:tcW w:w="780"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单位</w:t>
            </w:r>
          </w:p>
        </w:tc>
        <w:tc>
          <w:tcPr>
            <w:tcW w:w="780"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数量</w:t>
            </w:r>
          </w:p>
        </w:tc>
        <w:tc>
          <w:tcPr>
            <w:tcW w:w="810"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单价</w:t>
            </w:r>
          </w:p>
        </w:tc>
        <w:tc>
          <w:tcPr>
            <w:tcW w:w="795"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合价</w:t>
            </w:r>
          </w:p>
        </w:tc>
        <w:tc>
          <w:tcPr>
            <w:tcW w:w="1671" w:type="dxa"/>
            <w:vAlign w:val="center"/>
          </w:tcPr>
          <w:p>
            <w:pPr>
              <w:pStyle w:val="16"/>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hint="default" w:ascii="Times New Roman" w:hAnsi="Times New Roman" w:cs="Times New Roman" w:eastAsiaTheme="minorEastAsia"/>
                <w:color w:val="auto"/>
                <w:sz w:val="24"/>
              </w:rPr>
            </w:pPr>
          </w:p>
        </w:tc>
        <w:tc>
          <w:tcPr>
            <w:tcW w:w="2595" w:type="dxa"/>
          </w:tcPr>
          <w:p>
            <w:pPr>
              <w:pStyle w:val="16"/>
              <w:spacing w:line="360" w:lineRule="auto"/>
              <w:rPr>
                <w:rFonts w:hint="default" w:ascii="Times New Roman" w:hAnsi="Times New Roman" w:cs="Times New Roman" w:eastAsiaTheme="minorEastAsia"/>
                <w:color w:val="auto"/>
                <w:sz w:val="24"/>
              </w:rPr>
            </w:pPr>
          </w:p>
        </w:tc>
        <w:tc>
          <w:tcPr>
            <w:tcW w:w="1260" w:type="dxa"/>
          </w:tcPr>
          <w:p>
            <w:pPr>
              <w:pStyle w:val="16"/>
              <w:spacing w:line="360" w:lineRule="auto"/>
              <w:rPr>
                <w:rFonts w:hint="default" w:ascii="Times New Roman" w:hAnsi="Times New Roman" w:cs="Times New Roman" w:eastAsiaTheme="minorEastAsia"/>
                <w:color w:val="auto"/>
                <w:sz w:val="24"/>
              </w:rPr>
            </w:pPr>
          </w:p>
        </w:tc>
        <w:tc>
          <w:tcPr>
            <w:tcW w:w="780" w:type="dxa"/>
          </w:tcPr>
          <w:p>
            <w:pPr>
              <w:pStyle w:val="16"/>
              <w:spacing w:line="360" w:lineRule="auto"/>
              <w:rPr>
                <w:rFonts w:hint="default" w:ascii="Times New Roman" w:hAnsi="Times New Roman" w:cs="Times New Roman" w:eastAsiaTheme="minorEastAsia"/>
                <w:color w:val="auto"/>
                <w:sz w:val="24"/>
              </w:rPr>
            </w:pPr>
          </w:p>
        </w:tc>
        <w:tc>
          <w:tcPr>
            <w:tcW w:w="780" w:type="dxa"/>
          </w:tcPr>
          <w:p>
            <w:pPr>
              <w:pStyle w:val="16"/>
              <w:spacing w:line="360" w:lineRule="auto"/>
              <w:rPr>
                <w:rFonts w:hint="default" w:ascii="Times New Roman" w:hAnsi="Times New Roman" w:cs="Times New Roman" w:eastAsiaTheme="minorEastAsia"/>
                <w:color w:val="auto"/>
                <w:sz w:val="24"/>
              </w:rPr>
            </w:pPr>
          </w:p>
        </w:tc>
        <w:tc>
          <w:tcPr>
            <w:tcW w:w="810" w:type="dxa"/>
          </w:tcPr>
          <w:p>
            <w:pPr>
              <w:pStyle w:val="16"/>
              <w:spacing w:line="360" w:lineRule="auto"/>
              <w:rPr>
                <w:rFonts w:hint="default" w:ascii="Times New Roman" w:hAnsi="Times New Roman" w:cs="Times New Roman" w:eastAsiaTheme="minorEastAsia"/>
                <w:color w:val="auto"/>
                <w:sz w:val="24"/>
              </w:rPr>
            </w:pPr>
          </w:p>
        </w:tc>
        <w:tc>
          <w:tcPr>
            <w:tcW w:w="795" w:type="dxa"/>
          </w:tcPr>
          <w:p>
            <w:pPr>
              <w:pStyle w:val="16"/>
              <w:spacing w:line="360" w:lineRule="auto"/>
              <w:rPr>
                <w:rFonts w:hint="default" w:ascii="Times New Roman" w:hAnsi="Times New Roman" w:cs="Times New Roman" w:eastAsiaTheme="minorEastAsia"/>
                <w:color w:val="auto"/>
                <w:sz w:val="24"/>
              </w:rPr>
            </w:pPr>
          </w:p>
        </w:tc>
        <w:tc>
          <w:tcPr>
            <w:tcW w:w="1671" w:type="dxa"/>
          </w:tcPr>
          <w:p>
            <w:pPr>
              <w:pStyle w:val="16"/>
              <w:spacing w:line="360" w:lineRule="auto"/>
              <w:rPr>
                <w:rFonts w:hint="default" w:ascii="Times New Roman" w:hAnsi="Times New Roman" w:cs="Times New Roman"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hint="default" w:ascii="Times New Roman" w:hAnsi="Times New Roman" w:cs="Times New Roman" w:eastAsiaTheme="minorEastAsia"/>
                <w:color w:val="auto"/>
                <w:sz w:val="24"/>
              </w:rPr>
            </w:pPr>
          </w:p>
        </w:tc>
        <w:tc>
          <w:tcPr>
            <w:tcW w:w="2595" w:type="dxa"/>
          </w:tcPr>
          <w:p>
            <w:pPr>
              <w:pStyle w:val="16"/>
              <w:spacing w:line="360" w:lineRule="auto"/>
              <w:rPr>
                <w:rFonts w:hint="default" w:ascii="Times New Roman" w:hAnsi="Times New Roman" w:cs="Times New Roman" w:eastAsiaTheme="minorEastAsia"/>
                <w:color w:val="auto"/>
                <w:sz w:val="24"/>
              </w:rPr>
            </w:pPr>
          </w:p>
        </w:tc>
        <w:tc>
          <w:tcPr>
            <w:tcW w:w="1260" w:type="dxa"/>
          </w:tcPr>
          <w:p>
            <w:pPr>
              <w:pStyle w:val="16"/>
              <w:spacing w:line="360" w:lineRule="auto"/>
              <w:rPr>
                <w:rFonts w:hint="default" w:ascii="Times New Roman" w:hAnsi="Times New Roman" w:cs="Times New Roman" w:eastAsiaTheme="minorEastAsia"/>
                <w:color w:val="auto"/>
                <w:sz w:val="24"/>
              </w:rPr>
            </w:pPr>
          </w:p>
        </w:tc>
        <w:tc>
          <w:tcPr>
            <w:tcW w:w="780" w:type="dxa"/>
          </w:tcPr>
          <w:p>
            <w:pPr>
              <w:pStyle w:val="16"/>
              <w:spacing w:line="360" w:lineRule="auto"/>
              <w:rPr>
                <w:rFonts w:hint="default" w:ascii="Times New Roman" w:hAnsi="Times New Roman" w:cs="Times New Roman" w:eastAsiaTheme="minorEastAsia"/>
                <w:color w:val="auto"/>
                <w:sz w:val="24"/>
              </w:rPr>
            </w:pPr>
          </w:p>
        </w:tc>
        <w:tc>
          <w:tcPr>
            <w:tcW w:w="780" w:type="dxa"/>
          </w:tcPr>
          <w:p>
            <w:pPr>
              <w:pStyle w:val="16"/>
              <w:spacing w:line="360" w:lineRule="auto"/>
              <w:rPr>
                <w:rFonts w:hint="default" w:ascii="Times New Roman" w:hAnsi="Times New Roman" w:cs="Times New Roman" w:eastAsiaTheme="minorEastAsia"/>
                <w:color w:val="auto"/>
                <w:sz w:val="24"/>
              </w:rPr>
            </w:pPr>
          </w:p>
        </w:tc>
        <w:tc>
          <w:tcPr>
            <w:tcW w:w="810" w:type="dxa"/>
          </w:tcPr>
          <w:p>
            <w:pPr>
              <w:pStyle w:val="16"/>
              <w:spacing w:line="360" w:lineRule="auto"/>
              <w:rPr>
                <w:rFonts w:hint="default" w:ascii="Times New Roman" w:hAnsi="Times New Roman" w:cs="Times New Roman" w:eastAsiaTheme="minorEastAsia"/>
                <w:color w:val="auto"/>
                <w:sz w:val="24"/>
              </w:rPr>
            </w:pPr>
          </w:p>
        </w:tc>
        <w:tc>
          <w:tcPr>
            <w:tcW w:w="795" w:type="dxa"/>
          </w:tcPr>
          <w:p>
            <w:pPr>
              <w:pStyle w:val="16"/>
              <w:spacing w:line="360" w:lineRule="auto"/>
              <w:rPr>
                <w:rFonts w:hint="default" w:ascii="Times New Roman" w:hAnsi="Times New Roman" w:cs="Times New Roman" w:eastAsiaTheme="minorEastAsia"/>
                <w:color w:val="auto"/>
                <w:sz w:val="24"/>
              </w:rPr>
            </w:pPr>
          </w:p>
        </w:tc>
        <w:tc>
          <w:tcPr>
            <w:tcW w:w="1671" w:type="dxa"/>
          </w:tcPr>
          <w:p>
            <w:pPr>
              <w:pStyle w:val="16"/>
              <w:spacing w:line="360" w:lineRule="auto"/>
              <w:rPr>
                <w:rFonts w:hint="default" w:ascii="Times New Roman" w:hAnsi="Times New Roman" w:cs="Times New Roman"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hint="default" w:ascii="Times New Roman" w:hAnsi="Times New Roman" w:cs="Times New Roman" w:eastAsiaTheme="minorEastAsia"/>
                <w:color w:val="auto"/>
                <w:sz w:val="24"/>
              </w:rPr>
            </w:pPr>
          </w:p>
        </w:tc>
        <w:tc>
          <w:tcPr>
            <w:tcW w:w="2595" w:type="dxa"/>
          </w:tcPr>
          <w:p>
            <w:pPr>
              <w:pStyle w:val="16"/>
              <w:spacing w:line="360" w:lineRule="auto"/>
              <w:rPr>
                <w:rFonts w:hint="default" w:ascii="Times New Roman" w:hAnsi="Times New Roman" w:cs="Times New Roman" w:eastAsiaTheme="minorEastAsia"/>
                <w:color w:val="auto"/>
                <w:sz w:val="24"/>
              </w:rPr>
            </w:pPr>
          </w:p>
        </w:tc>
        <w:tc>
          <w:tcPr>
            <w:tcW w:w="1260" w:type="dxa"/>
          </w:tcPr>
          <w:p>
            <w:pPr>
              <w:pStyle w:val="16"/>
              <w:spacing w:line="360" w:lineRule="auto"/>
              <w:rPr>
                <w:rFonts w:hint="default" w:ascii="Times New Roman" w:hAnsi="Times New Roman" w:cs="Times New Roman" w:eastAsiaTheme="minorEastAsia"/>
                <w:color w:val="auto"/>
                <w:sz w:val="24"/>
              </w:rPr>
            </w:pPr>
          </w:p>
        </w:tc>
        <w:tc>
          <w:tcPr>
            <w:tcW w:w="780" w:type="dxa"/>
          </w:tcPr>
          <w:p>
            <w:pPr>
              <w:pStyle w:val="16"/>
              <w:spacing w:line="360" w:lineRule="auto"/>
              <w:rPr>
                <w:rFonts w:hint="default" w:ascii="Times New Roman" w:hAnsi="Times New Roman" w:cs="Times New Roman" w:eastAsiaTheme="minorEastAsia"/>
                <w:color w:val="auto"/>
                <w:sz w:val="24"/>
              </w:rPr>
            </w:pPr>
          </w:p>
        </w:tc>
        <w:tc>
          <w:tcPr>
            <w:tcW w:w="780" w:type="dxa"/>
          </w:tcPr>
          <w:p>
            <w:pPr>
              <w:pStyle w:val="16"/>
              <w:spacing w:line="360" w:lineRule="auto"/>
              <w:rPr>
                <w:rFonts w:hint="default" w:ascii="Times New Roman" w:hAnsi="Times New Roman" w:cs="Times New Roman" w:eastAsiaTheme="minorEastAsia"/>
                <w:color w:val="auto"/>
                <w:sz w:val="24"/>
              </w:rPr>
            </w:pPr>
          </w:p>
        </w:tc>
        <w:tc>
          <w:tcPr>
            <w:tcW w:w="810" w:type="dxa"/>
          </w:tcPr>
          <w:p>
            <w:pPr>
              <w:pStyle w:val="16"/>
              <w:spacing w:line="360" w:lineRule="auto"/>
              <w:rPr>
                <w:rFonts w:hint="default" w:ascii="Times New Roman" w:hAnsi="Times New Roman" w:cs="Times New Roman" w:eastAsiaTheme="minorEastAsia"/>
                <w:color w:val="auto"/>
                <w:sz w:val="24"/>
              </w:rPr>
            </w:pPr>
          </w:p>
        </w:tc>
        <w:tc>
          <w:tcPr>
            <w:tcW w:w="795" w:type="dxa"/>
          </w:tcPr>
          <w:p>
            <w:pPr>
              <w:pStyle w:val="16"/>
              <w:spacing w:line="360" w:lineRule="auto"/>
              <w:rPr>
                <w:rFonts w:hint="default" w:ascii="Times New Roman" w:hAnsi="Times New Roman" w:cs="Times New Roman" w:eastAsiaTheme="minorEastAsia"/>
                <w:color w:val="auto"/>
                <w:sz w:val="24"/>
              </w:rPr>
            </w:pPr>
          </w:p>
        </w:tc>
        <w:tc>
          <w:tcPr>
            <w:tcW w:w="1671" w:type="dxa"/>
          </w:tcPr>
          <w:p>
            <w:pPr>
              <w:pStyle w:val="16"/>
              <w:spacing w:line="360" w:lineRule="auto"/>
              <w:rPr>
                <w:rFonts w:hint="default" w:ascii="Times New Roman" w:hAnsi="Times New Roman" w:cs="Times New Roman" w:eastAsiaTheme="minorEastAsia"/>
                <w:color w:val="auto"/>
                <w:sz w:val="24"/>
              </w:rPr>
            </w:pPr>
          </w:p>
        </w:tc>
      </w:tr>
    </w:tbl>
    <w:p>
      <w:pPr>
        <w:spacing w:after="120"/>
        <w:rPr>
          <w:rFonts w:hint="default" w:ascii="Times New Roman" w:hAnsi="Times New Roman" w:cs="Times New Roman" w:eastAsiaTheme="minorEastAsia"/>
          <w:color w:val="auto"/>
          <w:u w:val="single"/>
        </w:rPr>
      </w:pPr>
    </w:p>
    <w:p>
      <w:pPr>
        <w:snapToGrid w:val="0"/>
        <w:spacing w:line="240" w:lineRule="atLeast"/>
        <w:rPr>
          <w:rFonts w:hint="default" w:ascii="Times New Roman" w:hAnsi="Times New Roman" w:cs="Times New Roman" w:eastAsiaTheme="minorEastAsia"/>
          <w:b/>
          <w:color w:val="auto"/>
          <w:sz w:val="28"/>
          <w:szCs w:val="28"/>
        </w:rPr>
      </w:pPr>
    </w:p>
    <w:p>
      <w:pPr>
        <w:snapToGrid w:val="0"/>
        <w:spacing w:line="240" w:lineRule="atLeast"/>
        <w:rPr>
          <w:rFonts w:hint="default" w:ascii="Times New Roman" w:hAnsi="Times New Roman" w:cs="Times New Roman" w:eastAsiaTheme="minorEastAsia"/>
          <w:b/>
          <w:color w:val="auto"/>
          <w:sz w:val="28"/>
          <w:szCs w:val="28"/>
        </w:rPr>
      </w:pPr>
    </w:p>
    <w:p>
      <w:pPr>
        <w:spacing w:line="4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报价合计金额(人民币大写):</w:t>
      </w:r>
    </w:p>
    <w:p>
      <w:pPr>
        <w:spacing w:line="4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报价合计金额(人民币小写):</w:t>
      </w:r>
    </w:p>
    <w:p>
      <w:pPr>
        <w:spacing w:line="4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本报价表须机打并加盖报价单位公章，手填无效。</w:t>
      </w:r>
    </w:p>
    <w:p>
      <w:pPr>
        <w:spacing w:line="440" w:lineRule="exact"/>
        <w:ind w:firstLine="420" w:firstLineChars="200"/>
        <w:rPr>
          <w:rFonts w:hint="default" w:ascii="Times New Roman" w:hAnsi="Times New Roman" w:cs="Times New Roman" w:eastAsiaTheme="minorEastAsia"/>
          <w:color w:val="auto"/>
          <w:szCs w:val="21"/>
        </w:rPr>
      </w:pPr>
    </w:p>
    <w:p>
      <w:pPr>
        <w:spacing w:line="440" w:lineRule="exact"/>
        <w:ind w:firstLine="420" w:firstLineChars="200"/>
        <w:rPr>
          <w:rFonts w:hint="default" w:ascii="Times New Roman" w:hAnsi="Times New Roman" w:cs="Times New Roman" w:eastAsiaTheme="minorEastAsia"/>
          <w:color w:val="auto"/>
          <w:szCs w:val="21"/>
        </w:rPr>
      </w:pPr>
    </w:p>
    <w:p>
      <w:pPr>
        <w:spacing w:line="440" w:lineRule="exact"/>
        <w:ind w:firstLine="420" w:firstLineChars="200"/>
        <w:rPr>
          <w:rFonts w:hint="default" w:ascii="Times New Roman" w:hAnsi="Times New Roman" w:cs="Times New Roman" w:eastAsiaTheme="minorEastAsia"/>
          <w:color w:val="auto"/>
          <w:szCs w:val="21"/>
        </w:rPr>
      </w:pPr>
    </w:p>
    <w:p>
      <w:pPr>
        <w:spacing w:line="440" w:lineRule="exact"/>
        <w:ind w:firstLine="5880" w:firstLineChars="28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报价单位盖章：</w:t>
      </w:r>
    </w:p>
    <w:p>
      <w:pPr>
        <w:spacing w:line="440" w:lineRule="exact"/>
        <w:ind w:firstLine="5880" w:firstLineChars="28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法人代表签字：</w:t>
      </w:r>
    </w:p>
    <w:p>
      <w:pPr>
        <w:spacing w:line="440" w:lineRule="exact"/>
        <w:rPr>
          <w:rFonts w:hint="default" w:ascii="Times New Roman" w:hAnsi="Times New Roman" w:cs="Times New Roman" w:eastAsiaTheme="minorEastAsia"/>
          <w:color w:val="auto"/>
          <w:szCs w:val="21"/>
        </w:rPr>
      </w:pPr>
    </w:p>
    <w:p>
      <w:pPr>
        <w:spacing w:line="500" w:lineRule="exact"/>
        <w:ind w:firstLine="6720" w:firstLineChars="2400"/>
        <w:rPr>
          <w:rFonts w:hint="default" w:ascii="Times New Roman" w:hAnsi="Times New Roman" w:cs="Times New Roman" w:eastAsiaTheme="minorEastAsia"/>
          <w:color w:val="auto"/>
          <w:sz w:val="28"/>
          <w:szCs w:val="28"/>
        </w:rPr>
      </w:pPr>
    </w:p>
    <w:p>
      <w:pPr>
        <w:spacing w:line="440" w:lineRule="exact"/>
        <w:rPr>
          <w:rFonts w:hint="default" w:ascii="Times New Roman" w:hAnsi="Times New Roman" w:cs="Times New Roman" w:eastAsiaTheme="minorEastAsia"/>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153DFBA2"/>
    <w:multiLevelType w:val="singleLevel"/>
    <w:tmpl w:val="153DFBA2"/>
    <w:lvl w:ilvl="0" w:tentative="0">
      <w:start w:val="1"/>
      <w:numFmt w:val="decimal"/>
      <w:lvlText w:val="(%1)"/>
      <w:lvlJc w:val="left"/>
      <w:pPr>
        <w:ind w:left="425" w:hanging="425"/>
      </w:pPr>
      <w:rPr>
        <w:rFonts w:hint="default"/>
      </w:rPr>
    </w:lvl>
  </w:abstractNum>
  <w:abstractNum w:abstractNumId="2">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9E80311"/>
    <w:multiLevelType w:val="singleLevel"/>
    <w:tmpl w:val="59E80311"/>
    <w:lvl w:ilvl="0" w:tentative="0">
      <w:start w:val="1"/>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714A"/>
    <w:rsid w:val="000C0549"/>
    <w:rsid w:val="000C2560"/>
    <w:rsid w:val="000C2B77"/>
    <w:rsid w:val="000C2EC0"/>
    <w:rsid w:val="000C31E7"/>
    <w:rsid w:val="000C6B9C"/>
    <w:rsid w:val="000C778C"/>
    <w:rsid w:val="000D18BF"/>
    <w:rsid w:val="000D1E80"/>
    <w:rsid w:val="000D25F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0D9"/>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7293"/>
    <w:rsid w:val="0017773A"/>
    <w:rsid w:val="00177C4F"/>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D7"/>
    <w:rsid w:val="001B4776"/>
    <w:rsid w:val="001B540E"/>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67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B88"/>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AFE"/>
    <w:rsid w:val="00301BB4"/>
    <w:rsid w:val="00302267"/>
    <w:rsid w:val="00302AE6"/>
    <w:rsid w:val="00303256"/>
    <w:rsid w:val="00304C94"/>
    <w:rsid w:val="00304FF0"/>
    <w:rsid w:val="0030531B"/>
    <w:rsid w:val="00306FAC"/>
    <w:rsid w:val="00307670"/>
    <w:rsid w:val="003079F8"/>
    <w:rsid w:val="00307D74"/>
    <w:rsid w:val="00310BC7"/>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691"/>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20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278A"/>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4EC5"/>
    <w:rsid w:val="005C552E"/>
    <w:rsid w:val="005C6108"/>
    <w:rsid w:val="005C6282"/>
    <w:rsid w:val="005C6968"/>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4E5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21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487"/>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4696"/>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CF2"/>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7B0"/>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6F6"/>
    <w:rsid w:val="00940B8F"/>
    <w:rsid w:val="0094235A"/>
    <w:rsid w:val="00942701"/>
    <w:rsid w:val="00943A41"/>
    <w:rsid w:val="00943B33"/>
    <w:rsid w:val="00944E24"/>
    <w:rsid w:val="00944E2A"/>
    <w:rsid w:val="00945367"/>
    <w:rsid w:val="0094676B"/>
    <w:rsid w:val="00947429"/>
    <w:rsid w:val="00950081"/>
    <w:rsid w:val="00952257"/>
    <w:rsid w:val="00953664"/>
    <w:rsid w:val="009554FD"/>
    <w:rsid w:val="00956AC3"/>
    <w:rsid w:val="0096042A"/>
    <w:rsid w:val="00960614"/>
    <w:rsid w:val="00961699"/>
    <w:rsid w:val="00962093"/>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98A"/>
    <w:rsid w:val="009B5A1A"/>
    <w:rsid w:val="009B7225"/>
    <w:rsid w:val="009B74D0"/>
    <w:rsid w:val="009C0727"/>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356"/>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278"/>
    <w:rsid w:val="00A316C9"/>
    <w:rsid w:val="00A32259"/>
    <w:rsid w:val="00A327A6"/>
    <w:rsid w:val="00A3296C"/>
    <w:rsid w:val="00A32B91"/>
    <w:rsid w:val="00A33A66"/>
    <w:rsid w:val="00A33B0F"/>
    <w:rsid w:val="00A34843"/>
    <w:rsid w:val="00A35936"/>
    <w:rsid w:val="00A35A82"/>
    <w:rsid w:val="00A3660E"/>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3EA"/>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145"/>
    <w:rsid w:val="00AD2D21"/>
    <w:rsid w:val="00AD2EF5"/>
    <w:rsid w:val="00AD4B12"/>
    <w:rsid w:val="00AD54BD"/>
    <w:rsid w:val="00AD5AAA"/>
    <w:rsid w:val="00AD655E"/>
    <w:rsid w:val="00AD6DC9"/>
    <w:rsid w:val="00AD7ABB"/>
    <w:rsid w:val="00AE0131"/>
    <w:rsid w:val="00AE0923"/>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68F2"/>
    <w:rsid w:val="00B27EB2"/>
    <w:rsid w:val="00B301FD"/>
    <w:rsid w:val="00B3052E"/>
    <w:rsid w:val="00B30B33"/>
    <w:rsid w:val="00B30CA0"/>
    <w:rsid w:val="00B30F5A"/>
    <w:rsid w:val="00B320F8"/>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894"/>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87CB7"/>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13C"/>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01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A06A5"/>
    <w:rsid w:val="00CA0A43"/>
    <w:rsid w:val="00CA11B8"/>
    <w:rsid w:val="00CA1C25"/>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097"/>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BFD"/>
    <w:rsid w:val="00E02E81"/>
    <w:rsid w:val="00E03126"/>
    <w:rsid w:val="00E044A9"/>
    <w:rsid w:val="00E047A0"/>
    <w:rsid w:val="00E049F7"/>
    <w:rsid w:val="00E05723"/>
    <w:rsid w:val="00E0693D"/>
    <w:rsid w:val="00E077A7"/>
    <w:rsid w:val="00E11B5F"/>
    <w:rsid w:val="00E13082"/>
    <w:rsid w:val="00E1495D"/>
    <w:rsid w:val="00E14E96"/>
    <w:rsid w:val="00E14F26"/>
    <w:rsid w:val="00E171B9"/>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1854"/>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F95"/>
    <w:rsid w:val="00E54AF0"/>
    <w:rsid w:val="00E5682B"/>
    <w:rsid w:val="00E573C4"/>
    <w:rsid w:val="00E57EEE"/>
    <w:rsid w:val="00E609F1"/>
    <w:rsid w:val="00E613FE"/>
    <w:rsid w:val="00E6222F"/>
    <w:rsid w:val="00E62D1C"/>
    <w:rsid w:val="00E62FE9"/>
    <w:rsid w:val="00E63AF9"/>
    <w:rsid w:val="00E65198"/>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11D6"/>
    <w:rsid w:val="00EB2029"/>
    <w:rsid w:val="00EB35BF"/>
    <w:rsid w:val="00EB425A"/>
    <w:rsid w:val="00EB4822"/>
    <w:rsid w:val="00EB5660"/>
    <w:rsid w:val="00EB56D6"/>
    <w:rsid w:val="00EB597E"/>
    <w:rsid w:val="00EB6A4C"/>
    <w:rsid w:val="00EB6CFF"/>
    <w:rsid w:val="00EB72A7"/>
    <w:rsid w:val="00EC06BA"/>
    <w:rsid w:val="00EC0CC3"/>
    <w:rsid w:val="00EC1B6B"/>
    <w:rsid w:val="00EC3A5A"/>
    <w:rsid w:val="00EC4567"/>
    <w:rsid w:val="00EC57B9"/>
    <w:rsid w:val="00EC6A44"/>
    <w:rsid w:val="00EC6EEF"/>
    <w:rsid w:val="00ED09D8"/>
    <w:rsid w:val="00ED12BF"/>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449B"/>
    <w:rsid w:val="00FF4896"/>
    <w:rsid w:val="00FF56F8"/>
    <w:rsid w:val="00FF6A05"/>
    <w:rsid w:val="00FF6BBC"/>
    <w:rsid w:val="01234426"/>
    <w:rsid w:val="016947E6"/>
    <w:rsid w:val="01D95223"/>
    <w:rsid w:val="02A71AEC"/>
    <w:rsid w:val="02D053CD"/>
    <w:rsid w:val="039C4061"/>
    <w:rsid w:val="03BD3559"/>
    <w:rsid w:val="03CC3A64"/>
    <w:rsid w:val="045E3984"/>
    <w:rsid w:val="04E478AB"/>
    <w:rsid w:val="050C1CE5"/>
    <w:rsid w:val="05FD31FE"/>
    <w:rsid w:val="064C4F63"/>
    <w:rsid w:val="069867ED"/>
    <w:rsid w:val="069D44BA"/>
    <w:rsid w:val="0739196D"/>
    <w:rsid w:val="075A2A7B"/>
    <w:rsid w:val="07FB5644"/>
    <w:rsid w:val="0822758F"/>
    <w:rsid w:val="08313B80"/>
    <w:rsid w:val="083D72E7"/>
    <w:rsid w:val="08503EFE"/>
    <w:rsid w:val="08646A03"/>
    <w:rsid w:val="086C7C41"/>
    <w:rsid w:val="09776951"/>
    <w:rsid w:val="097F5F89"/>
    <w:rsid w:val="098A0C99"/>
    <w:rsid w:val="0A477811"/>
    <w:rsid w:val="0AAF03A3"/>
    <w:rsid w:val="0ABB67CE"/>
    <w:rsid w:val="0B0444E6"/>
    <w:rsid w:val="0B370F83"/>
    <w:rsid w:val="0B421B63"/>
    <w:rsid w:val="0B7845B6"/>
    <w:rsid w:val="0BA80258"/>
    <w:rsid w:val="0C3948A8"/>
    <w:rsid w:val="0C591FDC"/>
    <w:rsid w:val="0CB83490"/>
    <w:rsid w:val="0CC12CF6"/>
    <w:rsid w:val="0D057A5C"/>
    <w:rsid w:val="0D427B70"/>
    <w:rsid w:val="0DE908A5"/>
    <w:rsid w:val="0DF4150B"/>
    <w:rsid w:val="0E2C0509"/>
    <w:rsid w:val="0E9D5567"/>
    <w:rsid w:val="0ED15280"/>
    <w:rsid w:val="0F5C5F40"/>
    <w:rsid w:val="0FB26250"/>
    <w:rsid w:val="10124978"/>
    <w:rsid w:val="10B06A92"/>
    <w:rsid w:val="11111CDE"/>
    <w:rsid w:val="115E4830"/>
    <w:rsid w:val="11737783"/>
    <w:rsid w:val="11B20C9C"/>
    <w:rsid w:val="12416A8A"/>
    <w:rsid w:val="12613F17"/>
    <w:rsid w:val="12C52EBB"/>
    <w:rsid w:val="12F8325C"/>
    <w:rsid w:val="12FF1145"/>
    <w:rsid w:val="13036A3A"/>
    <w:rsid w:val="13484065"/>
    <w:rsid w:val="13E715FD"/>
    <w:rsid w:val="146677B7"/>
    <w:rsid w:val="14684CD8"/>
    <w:rsid w:val="14B55E2A"/>
    <w:rsid w:val="151A0933"/>
    <w:rsid w:val="151E1392"/>
    <w:rsid w:val="15543085"/>
    <w:rsid w:val="15955E90"/>
    <w:rsid w:val="15A326EC"/>
    <w:rsid w:val="16226CEC"/>
    <w:rsid w:val="1783171A"/>
    <w:rsid w:val="18F3458F"/>
    <w:rsid w:val="194A5B2D"/>
    <w:rsid w:val="19AE3215"/>
    <w:rsid w:val="19E846A2"/>
    <w:rsid w:val="1A060717"/>
    <w:rsid w:val="1A5B3465"/>
    <w:rsid w:val="1B872195"/>
    <w:rsid w:val="1BB8420A"/>
    <w:rsid w:val="1BC917BB"/>
    <w:rsid w:val="1C1B324A"/>
    <w:rsid w:val="1CA100F4"/>
    <w:rsid w:val="1D1335AD"/>
    <w:rsid w:val="1D334817"/>
    <w:rsid w:val="1D9E7C25"/>
    <w:rsid w:val="1DD141CC"/>
    <w:rsid w:val="1DE166EC"/>
    <w:rsid w:val="1E780B21"/>
    <w:rsid w:val="1E89659D"/>
    <w:rsid w:val="1EA62A71"/>
    <w:rsid w:val="1EAC0D22"/>
    <w:rsid w:val="1ECC2874"/>
    <w:rsid w:val="1F28315C"/>
    <w:rsid w:val="1F755DB1"/>
    <w:rsid w:val="1FA1089B"/>
    <w:rsid w:val="1FC74D6B"/>
    <w:rsid w:val="208E3598"/>
    <w:rsid w:val="20EA51D1"/>
    <w:rsid w:val="210C3C73"/>
    <w:rsid w:val="21334369"/>
    <w:rsid w:val="21563D55"/>
    <w:rsid w:val="219759FB"/>
    <w:rsid w:val="220E2ECD"/>
    <w:rsid w:val="226D2AE5"/>
    <w:rsid w:val="229B58CD"/>
    <w:rsid w:val="23454FED"/>
    <w:rsid w:val="238E1A06"/>
    <w:rsid w:val="23A21C95"/>
    <w:rsid w:val="23B7553F"/>
    <w:rsid w:val="23F82CBF"/>
    <w:rsid w:val="24F07CE2"/>
    <w:rsid w:val="252F7198"/>
    <w:rsid w:val="25834D51"/>
    <w:rsid w:val="25A42B28"/>
    <w:rsid w:val="267403B3"/>
    <w:rsid w:val="26A2199E"/>
    <w:rsid w:val="27576CF8"/>
    <w:rsid w:val="27F15D9C"/>
    <w:rsid w:val="28074863"/>
    <w:rsid w:val="28636117"/>
    <w:rsid w:val="28AE4A0B"/>
    <w:rsid w:val="28B85369"/>
    <w:rsid w:val="29205AB8"/>
    <w:rsid w:val="29D20D80"/>
    <w:rsid w:val="29DE44D4"/>
    <w:rsid w:val="2A4C2E6A"/>
    <w:rsid w:val="2BF4376B"/>
    <w:rsid w:val="2C03670A"/>
    <w:rsid w:val="2CAE5761"/>
    <w:rsid w:val="2CBC01EB"/>
    <w:rsid w:val="2CD2635D"/>
    <w:rsid w:val="2CED5DE2"/>
    <w:rsid w:val="2CFF5D99"/>
    <w:rsid w:val="2D2C6371"/>
    <w:rsid w:val="2D5F6658"/>
    <w:rsid w:val="2DAE1236"/>
    <w:rsid w:val="2DEB3420"/>
    <w:rsid w:val="2E016B8B"/>
    <w:rsid w:val="2E292A27"/>
    <w:rsid w:val="2E376708"/>
    <w:rsid w:val="2F0444D0"/>
    <w:rsid w:val="2FB24850"/>
    <w:rsid w:val="3070755C"/>
    <w:rsid w:val="30C67B9E"/>
    <w:rsid w:val="31951006"/>
    <w:rsid w:val="31D05CA5"/>
    <w:rsid w:val="31E35D70"/>
    <w:rsid w:val="31FF209B"/>
    <w:rsid w:val="328E4CCC"/>
    <w:rsid w:val="32CF408C"/>
    <w:rsid w:val="3390757C"/>
    <w:rsid w:val="33A14D9B"/>
    <w:rsid w:val="33F21B00"/>
    <w:rsid w:val="34170FAE"/>
    <w:rsid w:val="341B1018"/>
    <w:rsid w:val="342E35DF"/>
    <w:rsid w:val="348426A5"/>
    <w:rsid w:val="34D26C89"/>
    <w:rsid w:val="35243115"/>
    <w:rsid w:val="353648B0"/>
    <w:rsid w:val="35FF3780"/>
    <w:rsid w:val="37222096"/>
    <w:rsid w:val="37333F37"/>
    <w:rsid w:val="3759692C"/>
    <w:rsid w:val="38086121"/>
    <w:rsid w:val="38364CBD"/>
    <w:rsid w:val="384F1275"/>
    <w:rsid w:val="38E14718"/>
    <w:rsid w:val="3A4F2DF7"/>
    <w:rsid w:val="3A6A78BF"/>
    <w:rsid w:val="3AAC69E7"/>
    <w:rsid w:val="3AD76819"/>
    <w:rsid w:val="3B5127DE"/>
    <w:rsid w:val="3B55051D"/>
    <w:rsid w:val="3B5E0809"/>
    <w:rsid w:val="3BE528E8"/>
    <w:rsid w:val="3C041E8C"/>
    <w:rsid w:val="3C4B6B70"/>
    <w:rsid w:val="3CB26D83"/>
    <w:rsid w:val="3D2579A9"/>
    <w:rsid w:val="3D501C81"/>
    <w:rsid w:val="3D977566"/>
    <w:rsid w:val="3DFE29A8"/>
    <w:rsid w:val="3E266E03"/>
    <w:rsid w:val="3E4167E0"/>
    <w:rsid w:val="3E5D2F50"/>
    <w:rsid w:val="3E861031"/>
    <w:rsid w:val="3F0973E4"/>
    <w:rsid w:val="3F50730D"/>
    <w:rsid w:val="3F732CAD"/>
    <w:rsid w:val="3FF82C7A"/>
    <w:rsid w:val="4030015B"/>
    <w:rsid w:val="404E28CC"/>
    <w:rsid w:val="407A5D67"/>
    <w:rsid w:val="40BE1C7B"/>
    <w:rsid w:val="40CC2440"/>
    <w:rsid w:val="40FD1749"/>
    <w:rsid w:val="415660D0"/>
    <w:rsid w:val="4161233F"/>
    <w:rsid w:val="419D4D8E"/>
    <w:rsid w:val="41FF02C1"/>
    <w:rsid w:val="4214515A"/>
    <w:rsid w:val="424E36DD"/>
    <w:rsid w:val="426D77C7"/>
    <w:rsid w:val="42862D66"/>
    <w:rsid w:val="429C4E56"/>
    <w:rsid w:val="42A603BC"/>
    <w:rsid w:val="42CC0B2E"/>
    <w:rsid w:val="433811B0"/>
    <w:rsid w:val="437301A1"/>
    <w:rsid w:val="44102511"/>
    <w:rsid w:val="443D2336"/>
    <w:rsid w:val="444C5CD1"/>
    <w:rsid w:val="44B36F30"/>
    <w:rsid w:val="44CA3B5A"/>
    <w:rsid w:val="450C365B"/>
    <w:rsid w:val="45252BB7"/>
    <w:rsid w:val="45292431"/>
    <w:rsid w:val="455376BB"/>
    <w:rsid w:val="45B369A9"/>
    <w:rsid w:val="467455F3"/>
    <w:rsid w:val="46B34489"/>
    <w:rsid w:val="476969BE"/>
    <w:rsid w:val="47794455"/>
    <w:rsid w:val="478B3EE5"/>
    <w:rsid w:val="48935D8C"/>
    <w:rsid w:val="49E66767"/>
    <w:rsid w:val="4A1E02D0"/>
    <w:rsid w:val="4A2F1DAC"/>
    <w:rsid w:val="4B0C1485"/>
    <w:rsid w:val="4B2744F0"/>
    <w:rsid w:val="4BA97879"/>
    <w:rsid w:val="4C7A4EC9"/>
    <w:rsid w:val="4C9C2321"/>
    <w:rsid w:val="4CC5508E"/>
    <w:rsid w:val="4CD51A4C"/>
    <w:rsid w:val="4D3D0510"/>
    <w:rsid w:val="4DB1762E"/>
    <w:rsid w:val="4DD827C4"/>
    <w:rsid w:val="4E081BA3"/>
    <w:rsid w:val="4E1223A7"/>
    <w:rsid w:val="4E1F58F6"/>
    <w:rsid w:val="4E25305D"/>
    <w:rsid w:val="4E2F02A1"/>
    <w:rsid w:val="4ECE40B5"/>
    <w:rsid w:val="4FE50941"/>
    <w:rsid w:val="500A299E"/>
    <w:rsid w:val="501101D8"/>
    <w:rsid w:val="508D24D4"/>
    <w:rsid w:val="50BB1277"/>
    <w:rsid w:val="50C1689E"/>
    <w:rsid w:val="50D911DD"/>
    <w:rsid w:val="50DE1AD8"/>
    <w:rsid w:val="50E53737"/>
    <w:rsid w:val="511C28A7"/>
    <w:rsid w:val="51432C46"/>
    <w:rsid w:val="51F92808"/>
    <w:rsid w:val="52530232"/>
    <w:rsid w:val="5254321E"/>
    <w:rsid w:val="52624EAB"/>
    <w:rsid w:val="52663491"/>
    <w:rsid w:val="528C5CD4"/>
    <w:rsid w:val="53E8704E"/>
    <w:rsid w:val="549B7E7B"/>
    <w:rsid w:val="54A402E8"/>
    <w:rsid w:val="54BE1FB9"/>
    <w:rsid w:val="54F002E3"/>
    <w:rsid w:val="55BA5175"/>
    <w:rsid w:val="5606720A"/>
    <w:rsid w:val="561970C6"/>
    <w:rsid w:val="5640318D"/>
    <w:rsid w:val="564334E7"/>
    <w:rsid w:val="567B46F5"/>
    <w:rsid w:val="568D7462"/>
    <w:rsid w:val="56D3452E"/>
    <w:rsid w:val="56F02439"/>
    <w:rsid w:val="5718422D"/>
    <w:rsid w:val="573C4EE3"/>
    <w:rsid w:val="577E7371"/>
    <w:rsid w:val="579F61A9"/>
    <w:rsid w:val="58127108"/>
    <w:rsid w:val="58206E3F"/>
    <w:rsid w:val="588F08FA"/>
    <w:rsid w:val="592A2799"/>
    <w:rsid w:val="59936F36"/>
    <w:rsid w:val="5AB413F5"/>
    <w:rsid w:val="5AB71249"/>
    <w:rsid w:val="5ABB6A2F"/>
    <w:rsid w:val="5AE62279"/>
    <w:rsid w:val="5B0F3435"/>
    <w:rsid w:val="5B3D21DD"/>
    <w:rsid w:val="5B9517EB"/>
    <w:rsid w:val="5B9F2239"/>
    <w:rsid w:val="5BF9271E"/>
    <w:rsid w:val="5C0E3A34"/>
    <w:rsid w:val="5D4D4E63"/>
    <w:rsid w:val="5DD611D9"/>
    <w:rsid w:val="5E484261"/>
    <w:rsid w:val="5EA67242"/>
    <w:rsid w:val="5F3F4D92"/>
    <w:rsid w:val="60AE1A84"/>
    <w:rsid w:val="61451203"/>
    <w:rsid w:val="61C845D6"/>
    <w:rsid w:val="61DA1C9B"/>
    <w:rsid w:val="61DC2267"/>
    <w:rsid w:val="61EA20BC"/>
    <w:rsid w:val="62675D12"/>
    <w:rsid w:val="62ED1197"/>
    <w:rsid w:val="635F1F03"/>
    <w:rsid w:val="636A56B3"/>
    <w:rsid w:val="63A32486"/>
    <w:rsid w:val="63D36139"/>
    <w:rsid w:val="64505B48"/>
    <w:rsid w:val="64671B36"/>
    <w:rsid w:val="653E60A6"/>
    <w:rsid w:val="657A4135"/>
    <w:rsid w:val="66306D53"/>
    <w:rsid w:val="669923DF"/>
    <w:rsid w:val="67E52CAD"/>
    <w:rsid w:val="67E96292"/>
    <w:rsid w:val="685873C5"/>
    <w:rsid w:val="68A41691"/>
    <w:rsid w:val="68DA4AC9"/>
    <w:rsid w:val="693D2D8D"/>
    <w:rsid w:val="69985150"/>
    <w:rsid w:val="6A553298"/>
    <w:rsid w:val="6A8A0AB8"/>
    <w:rsid w:val="6AC552B3"/>
    <w:rsid w:val="6AFC2413"/>
    <w:rsid w:val="6B181113"/>
    <w:rsid w:val="6B962494"/>
    <w:rsid w:val="6BE67850"/>
    <w:rsid w:val="6C3A7A22"/>
    <w:rsid w:val="6DF420AA"/>
    <w:rsid w:val="6E5C02C9"/>
    <w:rsid w:val="6E8E12EF"/>
    <w:rsid w:val="6F1E24F8"/>
    <w:rsid w:val="6F255736"/>
    <w:rsid w:val="6F775AB8"/>
    <w:rsid w:val="6F974330"/>
    <w:rsid w:val="70404098"/>
    <w:rsid w:val="708D2512"/>
    <w:rsid w:val="70C0050B"/>
    <w:rsid w:val="70DA7783"/>
    <w:rsid w:val="71346F76"/>
    <w:rsid w:val="722E1B2B"/>
    <w:rsid w:val="72674F59"/>
    <w:rsid w:val="731A01C7"/>
    <w:rsid w:val="73382DAE"/>
    <w:rsid w:val="73BF04CA"/>
    <w:rsid w:val="746E74A6"/>
    <w:rsid w:val="74AC783C"/>
    <w:rsid w:val="76250E63"/>
    <w:rsid w:val="7681674A"/>
    <w:rsid w:val="76BE03F9"/>
    <w:rsid w:val="76F60228"/>
    <w:rsid w:val="774737A1"/>
    <w:rsid w:val="785C5819"/>
    <w:rsid w:val="787228C6"/>
    <w:rsid w:val="78A43670"/>
    <w:rsid w:val="78C328A3"/>
    <w:rsid w:val="79637BED"/>
    <w:rsid w:val="7A6042E4"/>
    <w:rsid w:val="7A836FB2"/>
    <w:rsid w:val="7AA3465C"/>
    <w:rsid w:val="7AB913E9"/>
    <w:rsid w:val="7B11404E"/>
    <w:rsid w:val="7BA4233C"/>
    <w:rsid w:val="7BA80B88"/>
    <w:rsid w:val="7BD120FE"/>
    <w:rsid w:val="7BEE296D"/>
    <w:rsid w:val="7C15299D"/>
    <w:rsid w:val="7C761D25"/>
    <w:rsid w:val="7D46391A"/>
    <w:rsid w:val="7D720787"/>
    <w:rsid w:val="7DF74479"/>
    <w:rsid w:val="7EA90D0F"/>
    <w:rsid w:val="7EC93B4D"/>
    <w:rsid w:val="7FB0205B"/>
    <w:rsid w:val="7FB84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3"/>
    <w:qFormat/>
    <w:uiPriority w:val="0"/>
    <w:pPr>
      <w:spacing w:before="240" w:after="60"/>
      <w:jc w:val="center"/>
      <w:outlineLvl w:val="0"/>
    </w:pPr>
    <w:rPr>
      <w:rFonts w:ascii="Cambria" w:hAnsi="Cambria"/>
      <w:b/>
      <w:bCs/>
      <w:sz w:val="32"/>
      <w:szCs w:val="32"/>
    </w:rPr>
  </w:style>
  <w:style w:type="paragraph" w:styleId="27">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99"/>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字符"/>
    <w:link w:val="16"/>
    <w:qFormat/>
    <w:uiPriority w:val="0"/>
    <w:rPr>
      <w:rFonts w:ascii="宋体" w:hAnsi="Courier New" w:eastAsia="宋体"/>
      <w:kern w:val="2"/>
      <w:sz w:val="21"/>
      <w:lang w:val="en-US" w:eastAsia="zh-CN" w:bidi="ar-SA"/>
    </w:rPr>
  </w:style>
  <w:style w:type="character" w:customStyle="1" w:styleId="40">
    <w:name w:val="param-value"/>
    <w:basedOn w:val="30"/>
    <w:qFormat/>
    <w:uiPriority w:val="0"/>
  </w:style>
  <w:style w:type="character" w:customStyle="1" w:styleId="41">
    <w:name w:val="页脚 字符"/>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字符"/>
    <w:link w:val="26"/>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字符"/>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字符"/>
    <w:link w:val="20"/>
    <w:qFormat/>
    <w:uiPriority w:val="99"/>
    <w:rPr>
      <w:kern w:val="2"/>
      <w:sz w:val="18"/>
      <w:szCs w:val="18"/>
    </w:rPr>
  </w:style>
  <w:style w:type="character" w:customStyle="1" w:styleId="51">
    <w:name w:val="标题 5 字符"/>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字符"/>
    <w:link w:val="5"/>
    <w:qFormat/>
    <w:uiPriority w:val="9"/>
    <w:rPr>
      <w:rFonts w:ascii="Arial" w:hAnsi="Arial"/>
      <w:b/>
      <w:kern w:val="2"/>
      <w:sz w:val="32"/>
    </w:rPr>
  </w:style>
  <w:style w:type="character" w:customStyle="1" w:styleId="54">
    <w:name w:val="style4"/>
    <w:qFormat/>
    <w:uiPriority w:val="0"/>
  </w:style>
  <w:style w:type="character" w:customStyle="1" w:styleId="55">
    <w:name w:val="标题 4 字符"/>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字符"/>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unhideWhenUsed/>
    <w:qFormat/>
    <w:uiPriority w:val="99"/>
    <w:pPr>
      <w:ind w:firstLine="420" w:firstLineChars="200"/>
    </w:pPr>
  </w:style>
  <w:style w:type="paragraph" w:customStyle="1" w:styleId="8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84">
    <w:name w:val="方案正文"/>
    <w:basedOn w:val="1"/>
    <w:qFormat/>
    <w:uiPriority w:val="0"/>
    <w:pPr>
      <w:ind w:firstLine="200" w:firstLineChars="200"/>
      <w:jc w:val="left"/>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JSOU</Company>
  <Pages>24</Pages>
  <Words>1787</Words>
  <Characters>10186</Characters>
  <Lines>84</Lines>
  <Paragraphs>23</Paragraphs>
  <TotalTime>1</TotalTime>
  <ScaleCrop>false</ScaleCrop>
  <LinksUpToDate>false</LinksUpToDate>
  <CharactersWithSpaces>11950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2018-11-13T01:21:00Z</dcterms:created>
  <dc:creator>江苏开放大学招标办</dc:creator>
  <cp:lastModifiedBy>xiaolu1404095211</cp:lastModifiedBy>
  <cp:lastPrinted>2016-07-10T02:09:00Z</cp:lastPrinted>
  <dcterms:modified xsi:type="dcterms:W3CDTF">2019-11-14T00:18:32Z</dcterms:modified>
  <dc:title>江苏开放大学招标文件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