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BA6" w:rsidRPr="009A7BA6" w:rsidRDefault="005D17F6" w:rsidP="009A7BA6">
      <w:pPr>
        <w:spacing w:after="240"/>
        <w:jc w:val="center"/>
        <w:rPr>
          <w:b/>
          <w:sz w:val="30"/>
          <w:szCs w:val="30"/>
        </w:rPr>
      </w:pPr>
      <w:r>
        <w:rPr>
          <w:rFonts w:hint="eastAsia"/>
          <w:b/>
          <w:sz w:val="30"/>
          <w:szCs w:val="30"/>
        </w:rPr>
        <w:t>传媒学院</w:t>
      </w:r>
      <w:r w:rsidR="009A7BA6" w:rsidRPr="009A7BA6">
        <w:rPr>
          <w:b/>
          <w:sz w:val="30"/>
          <w:szCs w:val="30"/>
        </w:rPr>
        <w:t>智能化</w:t>
      </w:r>
      <w:r w:rsidR="009A7BA6" w:rsidRPr="009A7BA6">
        <w:rPr>
          <w:rFonts w:hint="eastAsia"/>
          <w:b/>
          <w:sz w:val="30"/>
          <w:szCs w:val="30"/>
        </w:rPr>
        <w:t>计算机</w:t>
      </w:r>
      <w:r w:rsidR="009A7BA6" w:rsidRPr="009A7BA6">
        <w:rPr>
          <w:b/>
          <w:sz w:val="30"/>
          <w:szCs w:val="30"/>
        </w:rPr>
        <w:t>设备管理系统</w:t>
      </w:r>
      <w:r>
        <w:rPr>
          <w:rFonts w:hint="eastAsia"/>
          <w:b/>
          <w:sz w:val="30"/>
          <w:szCs w:val="30"/>
        </w:rPr>
        <w:t>采购要求</w:t>
      </w:r>
      <w:bookmarkStart w:id="0" w:name="_GoBack"/>
      <w:bookmarkEnd w:id="0"/>
    </w:p>
    <w:tbl>
      <w:tblPr>
        <w:tblStyle w:val="a6"/>
        <w:tblW w:w="9214" w:type="dxa"/>
        <w:tblInd w:w="-459" w:type="dxa"/>
        <w:tblLook w:val="04A0" w:firstRow="1" w:lastRow="0" w:firstColumn="1" w:lastColumn="0" w:noHBand="0" w:noVBand="1"/>
      </w:tblPr>
      <w:tblGrid>
        <w:gridCol w:w="1276"/>
        <w:gridCol w:w="6521"/>
        <w:gridCol w:w="708"/>
        <w:gridCol w:w="709"/>
      </w:tblGrid>
      <w:tr w:rsidR="009A7BA6" w:rsidRPr="009A7BA6" w:rsidTr="009A7BA6">
        <w:tc>
          <w:tcPr>
            <w:tcW w:w="1276" w:type="dxa"/>
            <w:vAlign w:val="center"/>
          </w:tcPr>
          <w:p w:rsidR="009A7BA6" w:rsidRPr="009A7BA6" w:rsidRDefault="009A7BA6" w:rsidP="009A7BA6">
            <w:pPr>
              <w:jc w:val="center"/>
              <w:rPr>
                <w:rFonts w:asciiTheme="minorEastAsia" w:hAnsiTheme="minorEastAsia"/>
                <w:b/>
                <w:szCs w:val="21"/>
              </w:rPr>
            </w:pPr>
            <w:r w:rsidRPr="009A7BA6">
              <w:rPr>
                <w:rFonts w:asciiTheme="minorEastAsia" w:hAnsiTheme="minorEastAsia"/>
                <w:b/>
                <w:szCs w:val="21"/>
              </w:rPr>
              <w:t>项目名称</w:t>
            </w:r>
          </w:p>
        </w:tc>
        <w:tc>
          <w:tcPr>
            <w:tcW w:w="6521" w:type="dxa"/>
          </w:tcPr>
          <w:p w:rsidR="009A7BA6" w:rsidRPr="009A7BA6" w:rsidRDefault="009A7BA6" w:rsidP="009A7BA6">
            <w:pPr>
              <w:jc w:val="center"/>
              <w:rPr>
                <w:rFonts w:asciiTheme="minorEastAsia" w:hAnsiTheme="minorEastAsia"/>
                <w:b/>
                <w:szCs w:val="21"/>
              </w:rPr>
            </w:pPr>
            <w:r w:rsidRPr="009A7BA6">
              <w:rPr>
                <w:rFonts w:asciiTheme="minorEastAsia" w:hAnsiTheme="minorEastAsia"/>
                <w:b/>
                <w:szCs w:val="21"/>
              </w:rPr>
              <w:t>技术参数</w:t>
            </w:r>
          </w:p>
        </w:tc>
        <w:tc>
          <w:tcPr>
            <w:tcW w:w="708" w:type="dxa"/>
            <w:vAlign w:val="center"/>
          </w:tcPr>
          <w:p w:rsidR="009A7BA6" w:rsidRPr="009A7BA6" w:rsidRDefault="009A7BA6" w:rsidP="009A7BA6">
            <w:pPr>
              <w:jc w:val="center"/>
              <w:rPr>
                <w:rFonts w:asciiTheme="minorEastAsia" w:hAnsiTheme="minorEastAsia"/>
                <w:b/>
                <w:szCs w:val="21"/>
              </w:rPr>
            </w:pPr>
            <w:r w:rsidRPr="009A7BA6">
              <w:rPr>
                <w:rFonts w:asciiTheme="minorEastAsia" w:hAnsiTheme="minorEastAsia"/>
                <w:b/>
                <w:szCs w:val="21"/>
              </w:rPr>
              <w:t>数量</w:t>
            </w:r>
          </w:p>
        </w:tc>
        <w:tc>
          <w:tcPr>
            <w:tcW w:w="709" w:type="dxa"/>
            <w:vAlign w:val="center"/>
          </w:tcPr>
          <w:p w:rsidR="009A7BA6" w:rsidRPr="009A7BA6" w:rsidRDefault="009A7BA6" w:rsidP="009A7BA6">
            <w:pPr>
              <w:jc w:val="center"/>
              <w:rPr>
                <w:rFonts w:asciiTheme="minorEastAsia" w:hAnsiTheme="minorEastAsia"/>
                <w:b/>
                <w:szCs w:val="21"/>
              </w:rPr>
            </w:pPr>
            <w:r w:rsidRPr="009A7BA6">
              <w:rPr>
                <w:rFonts w:asciiTheme="minorEastAsia" w:hAnsiTheme="minorEastAsia"/>
                <w:b/>
                <w:szCs w:val="21"/>
              </w:rPr>
              <w:t>单位</w:t>
            </w:r>
          </w:p>
        </w:tc>
      </w:tr>
      <w:tr w:rsidR="009A7BA6" w:rsidTr="009A7BA6">
        <w:tc>
          <w:tcPr>
            <w:tcW w:w="1276" w:type="dxa"/>
            <w:vAlign w:val="center"/>
          </w:tcPr>
          <w:p w:rsidR="009A7BA6" w:rsidRDefault="009A7BA6" w:rsidP="009A7BA6">
            <w:pPr>
              <w:jc w:val="center"/>
              <w:rPr>
                <w:rFonts w:asciiTheme="minorEastAsia" w:hAnsiTheme="minorEastAsia"/>
                <w:szCs w:val="21"/>
              </w:rPr>
            </w:pPr>
            <w:r>
              <w:rPr>
                <w:rFonts w:asciiTheme="minorEastAsia" w:hAnsiTheme="minorEastAsia"/>
                <w:szCs w:val="21"/>
              </w:rPr>
              <w:t>智能化</w:t>
            </w:r>
            <w:r>
              <w:rPr>
                <w:rFonts w:asciiTheme="minorEastAsia" w:hAnsiTheme="minorEastAsia" w:hint="eastAsia"/>
                <w:szCs w:val="21"/>
              </w:rPr>
              <w:t>计算机</w:t>
            </w:r>
            <w:r>
              <w:rPr>
                <w:rFonts w:asciiTheme="minorEastAsia" w:hAnsiTheme="minorEastAsia"/>
                <w:szCs w:val="21"/>
              </w:rPr>
              <w:t>设备管理系统</w:t>
            </w:r>
          </w:p>
        </w:tc>
        <w:tc>
          <w:tcPr>
            <w:tcW w:w="6521" w:type="dxa"/>
          </w:tcPr>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szCs w:val="21"/>
              </w:rPr>
              <w:t>安装部署</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①支持</w:t>
            </w:r>
            <w:proofErr w:type="gramStart"/>
            <w:r w:rsidRPr="009A7BA6">
              <w:rPr>
                <w:rFonts w:asciiTheme="minorEastAsia" w:hAnsiTheme="minorEastAsia" w:hint="eastAsia"/>
                <w:szCs w:val="21"/>
              </w:rPr>
              <w:t>快捷系统</w:t>
            </w:r>
            <w:proofErr w:type="gramEnd"/>
            <w:r w:rsidRPr="009A7BA6">
              <w:rPr>
                <w:rFonts w:asciiTheme="minorEastAsia" w:hAnsiTheme="minorEastAsia" w:hint="eastAsia"/>
                <w:szCs w:val="21"/>
              </w:rPr>
              <w:t>部署，用户可以自定义参数，让程序自动执行安装，真正地做到无人值守安装；②安装部署方便，免拆机插卡，无机型（台式机、一体机、平板等）及主板（传统BIOS及UEFI主板）限制；③支持Windows全系列系统（Win7-x64、Win8-x64、</w:t>
            </w:r>
            <w:r w:rsidRPr="009A7BA6">
              <w:rPr>
                <w:rFonts w:asciiTheme="minorEastAsia" w:hAnsiTheme="minorEastAsia"/>
                <w:szCs w:val="21"/>
              </w:rPr>
              <w:t>multipoint server 2012</w:t>
            </w:r>
            <w:r w:rsidRPr="009A7BA6">
              <w:rPr>
                <w:rFonts w:asciiTheme="minorEastAsia" w:hAnsiTheme="minorEastAsia" w:hint="eastAsia"/>
                <w:szCs w:val="21"/>
              </w:rPr>
              <w:t>-x64）。</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增量同传</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①支持增量对</w:t>
            </w:r>
            <w:proofErr w:type="gramStart"/>
            <w:r w:rsidRPr="009A7BA6">
              <w:rPr>
                <w:rFonts w:asciiTheme="minorEastAsia" w:hAnsiTheme="minorEastAsia" w:hint="eastAsia"/>
                <w:szCs w:val="21"/>
              </w:rPr>
              <w:t>拷技术</w:t>
            </w:r>
            <w:proofErr w:type="gramEnd"/>
            <w:r w:rsidRPr="009A7BA6">
              <w:rPr>
                <w:rFonts w:asciiTheme="minorEastAsia" w:hAnsiTheme="minorEastAsia" w:hint="eastAsia"/>
                <w:szCs w:val="21"/>
              </w:rPr>
              <w:t>,真正实现最少数据的对拷，仅需管理端一个命令，客户端自动执行增量对拷,真正做到了全自动化的操作；②增量</w:t>
            </w:r>
            <w:proofErr w:type="gramStart"/>
            <w:r w:rsidRPr="009A7BA6">
              <w:rPr>
                <w:rFonts w:asciiTheme="minorEastAsia" w:hAnsiTheme="minorEastAsia" w:hint="eastAsia"/>
                <w:szCs w:val="21"/>
              </w:rPr>
              <w:t>对拷内建</w:t>
            </w:r>
            <w:proofErr w:type="gramEnd"/>
            <w:r w:rsidRPr="009A7BA6">
              <w:rPr>
                <w:rFonts w:asciiTheme="minorEastAsia" w:hAnsiTheme="minorEastAsia" w:hint="eastAsia"/>
                <w:szCs w:val="21"/>
              </w:rPr>
              <w:t>了PXE Server，用户可以自定义修改发送端和接收端对拷的IP、DNS和子网等信息；③增量对</w:t>
            </w:r>
            <w:proofErr w:type="gramStart"/>
            <w:r w:rsidRPr="009A7BA6">
              <w:rPr>
                <w:rFonts w:asciiTheme="minorEastAsia" w:hAnsiTheme="minorEastAsia" w:hint="eastAsia"/>
                <w:szCs w:val="21"/>
              </w:rPr>
              <w:t>拷支持</w:t>
            </w:r>
            <w:proofErr w:type="gramEnd"/>
            <w:r w:rsidRPr="009A7BA6">
              <w:rPr>
                <w:rFonts w:asciiTheme="minorEastAsia" w:hAnsiTheme="minorEastAsia" w:hint="eastAsia"/>
                <w:szCs w:val="21"/>
              </w:rPr>
              <w:t>U盘、光盘和PXE</w:t>
            </w:r>
            <w:r w:rsidR="00E76543">
              <w:rPr>
                <w:rFonts w:asciiTheme="minorEastAsia" w:hAnsiTheme="minorEastAsia" w:hint="eastAsia"/>
                <w:szCs w:val="21"/>
              </w:rPr>
              <w:t>等多种方式引导；</w:t>
            </w:r>
            <w:r w:rsidRPr="009A7BA6">
              <w:rPr>
                <w:rFonts w:asciiTheme="minorEastAsia" w:hAnsiTheme="minorEastAsia" w:hint="eastAsia"/>
                <w:szCs w:val="21"/>
              </w:rPr>
              <w:t>④增量对</w:t>
            </w:r>
            <w:proofErr w:type="gramStart"/>
            <w:r w:rsidRPr="009A7BA6">
              <w:rPr>
                <w:rFonts w:asciiTheme="minorEastAsia" w:hAnsiTheme="minorEastAsia" w:hint="eastAsia"/>
                <w:szCs w:val="21"/>
              </w:rPr>
              <w:t>拷支持</w:t>
            </w:r>
            <w:proofErr w:type="gramEnd"/>
            <w:r w:rsidRPr="009A7BA6">
              <w:rPr>
                <w:rFonts w:asciiTheme="minorEastAsia" w:hAnsiTheme="minorEastAsia" w:hint="eastAsia"/>
                <w:szCs w:val="21"/>
              </w:rPr>
              <w:t>批量修改接收</w:t>
            </w:r>
            <w:proofErr w:type="gramStart"/>
            <w:r w:rsidRPr="009A7BA6">
              <w:rPr>
                <w:rFonts w:asciiTheme="minorEastAsia" w:hAnsiTheme="minorEastAsia" w:hint="eastAsia"/>
                <w:szCs w:val="21"/>
              </w:rPr>
              <w:t>端电脑</w:t>
            </w:r>
            <w:proofErr w:type="gramEnd"/>
            <w:r w:rsidRPr="009A7BA6">
              <w:rPr>
                <w:rFonts w:asciiTheme="minorEastAsia" w:hAnsiTheme="minorEastAsia" w:hint="eastAsia"/>
                <w:szCs w:val="21"/>
              </w:rPr>
              <w:t>的电脑名、IP、DNS、加入\退出</w:t>
            </w:r>
            <w:proofErr w:type="gramStart"/>
            <w:r w:rsidRPr="009A7BA6">
              <w:rPr>
                <w:rFonts w:asciiTheme="minorEastAsia" w:hAnsiTheme="minorEastAsia" w:hint="eastAsia"/>
                <w:szCs w:val="21"/>
              </w:rPr>
              <w:t>域操作</w:t>
            </w:r>
            <w:proofErr w:type="gramEnd"/>
            <w:r w:rsidRPr="009A7BA6">
              <w:rPr>
                <w:rFonts w:asciiTheme="minorEastAsia" w:hAnsiTheme="minorEastAsia" w:hint="eastAsia"/>
                <w:szCs w:val="21"/>
              </w:rPr>
              <w:t>及操作系统、office的联网认证；⑤支持断点续传，同步电脑时间、远端开关机\重启、限定对拷增量对拷的速度；</w:t>
            </w:r>
            <w:r w:rsidR="002875C1" w:rsidRPr="009A7BA6">
              <w:rPr>
                <w:rFonts w:asciiTheme="minorEastAsia" w:hAnsiTheme="minorEastAsia"/>
                <w:szCs w:val="21"/>
              </w:rPr>
              <w:t xml:space="preserve"> </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多还原点</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支持对多还原点的操作，还原点之间相互独立互不干扰，各还原点之间可以随意切换；支持对还原点进行锁定/解锁、删除等操作；支持定时保存还原点的操作；支持在管理端可以</w:t>
            </w:r>
            <w:proofErr w:type="gramStart"/>
            <w:r w:rsidRPr="009A7BA6">
              <w:rPr>
                <w:rFonts w:asciiTheme="minorEastAsia" w:hAnsiTheme="minorEastAsia" w:hint="eastAsia"/>
                <w:szCs w:val="21"/>
              </w:rPr>
              <w:t>远程对</w:t>
            </w:r>
            <w:proofErr w:type="gramEnd"/>
            <w:r w:rsidRPr="009A7BA6">
              <w:rPr>
                <w:rFonts w:asciiTheme="minorEastAsia" w:hAnsiTheme="minorEastAsia" w:hint="eastAsia"/>
                <w:szCs w:val="21"/>
              </w:rPr>
              <w:t>所有的在线的客户端进行批量控制，对指定的客户端还原到指定的</w:t>
            </w:r>
            <w:proofErr w:type="gramStart"/>
            <w:r w:rsidRPr="009A7BA6">
              <w:rPr>
                <w:rFonts w:asciiTheme="minorEastAsia" w:hAnsiTheme="minorEastAsia" w:hint="eastAsia"/>
                <w:szCs w:val="21"/>
              </w:rPr>
              <w:t>某个还</w:t>
            </w:r>
            <w:proofErr w:type="gramEnd"/>
            <w:r w:rsidRPr="009A7BA6">
              <w:rPr>
                <w:rFonts w:asciiTheme="minorEastAsia" w:hAnsiTheme="minorEastAsia" w:hint="eastAsia"/>
                <w:szCs w:val="21"/>
              </w:rPr>
              <w:t>原点，以及批量执行新增、删除、锁定/解锁。</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系统还原保护</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支持不改变微软原版操作系统带隐藏小分区的保护；支持及时还原、自动保留、定时还原，管理</w:t>
            </w:r>
            <w:proofErr w:type="gramStart"/>
            <w:r w:rsidRPr="009A7BA6">
              <w:rPr>
                <w:rFonts w:asciiTheme="minorEastAsia" w:hAnsiTheme="minorEastAsia" w:hint="eastAsia"/>
                <w:szCs w:val="21"/>
              </w:rPr>
              <w:t>端支持</w:t>
            </w:r>
            <w:proofErr w:type="gramEnd"/>
            <w:r w:rsidRPr="009A7BA6">
              <w:rPr>
                <w:rFonts w:asciiTheme="minorEastAsia" w:hAnsiTheme="minorEastAsia" w:hint="eastAsia"/>
                <w:szCs w:val="21"/>
              </w:rPr>
              <w:t>对客户端的这些还原保护参数进行批量的设定；支持对保护分区剩余空间的监视，当空间不足时会自动提示用户。</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系统侦测</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支持对操作系统环境进行监测，用户可预设当监测有变化时的操作动作：及时保存还原点、下次重启保存还原点及忽略。</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远端维护</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对客户端电脑的监看，支持轮流监看及自定义监看窗口的缩放比例；对客户端电脑的遥控，支持群组遥控、锁定客户端键鼠、传送资料、截屏及剪切</w:t>
            </w:r>
            <w:proofErr w:type="gramStart"/>
            <w:r w:rsidRPr="009A7BA6">
              <w:rPr>
                <w:rFonts w:asciiTheme="minorEastAsia" w:hAnsiTheme="minorEastAsia" w:hint="eastAsia"/>
                <w:szCs w:val="21"/>
              </w:rPr>
              <w:t>簿</w:t>
            </w:r>
            <w:proofErr w:type="gramEnd"/>
            <w:r w:rsidRPr="009A7BA6">
              <w:rPr>
                <w:rFonts w:asciiTheme="minorEastAsia" w:hAnsiTheme="minorEastAsia" w:hint="eastAsia"/>
                <w:szCs w:val="21"/>
              </w:rPr>
              <w:t>同步操作；支持对未登录的客户端执行远程登录的功能，不需要跑到客户端</w:t>
            </w:r>
            <w:proofErr w:type="gramStart"/>
            <w:r w:rsidRPr="009A7BA6">
              <w:rPr>
                <w:rFonts w:asciiTheme="minorEastAsia" w:hAnsiTheme="minorEastAsia" w:hint="eastAsia"/>
                <w:szCs w:val="21"/>
              </w:rPr>
              <w:t>本地去</w:t>
            </w:r>
            <w:proofErr w:type="gramEnd"/>
            <w:r w:rsidRPr="009A7BA6">
              <w:rPr>
                <w:rFonts w:asciiTheme="minorEastAsia" w:hAnsiTheme="minorEastAsia" w:hint="eastAsia"/>
                <w:szCs w:val="21"/>
              </w:rPr>
              <w:t>执行登录；支持被控端搜索的功能，即使在客户</w:t>
            </w:r>
            <w:proofErr w:type="gramStart"/>
            <w:r w:rsidRPr="009A7BA6">
              <w:rPr>
                <w:rFonts w:asciiTheme="minorEastAsia" w:hAnsiTheme="minorEastAsia" w:hint="eastAsia"/>
                <w:szCs w:val="21"/>
              </w:rPr>
              <w:t>端安</w:t>
            </w:r>
            <w:proofErr w:type="gramEnd"/>
            <w:r w:rsidRPr="009A7BA6">
              <w:rPr>
                <w:rFonts w:asciiTheme="minorEastAsia" w:hAnsiTheme="minorEastAsia" w:hint="eastAsia"/>
                <w:szCs w:val="21"/>
              </w:rPr>
              <w:t>装的时候没有设置管理端通信方式，也能够把在同一局域网内的所有客户端搜索到并抓取到该管理端；支持批量注册；支持产品在线升级（不需要借助FTP等工具实现升级），用户可以自定义产品升级的计划。</w:t>
            </w:r>
          </w:p>
          <w:p w:rsidR="009A7BA6" w:rsidRPr="009A7BA6" w:rsidRDefault="009A7BA6" w:rsidP="009A7BA6">
            <w:pPr>
              <w:pStyle w:val="a5"/>
              <w:numPr>
                <w:ilvl w:val="0"/>
                <w:numId w:val="3"/>
              </w:numPr>
              <w:ind w:firstLineChars="0"/>
              <w:jc w:val="left"/>
              <w:rPr>
                <w:rFonts w:asciiTheme="minorEastAsia" w:hAnsiTheme="minorEastAsia"/>
                <w:szCs w:val="21"/>
              </w:rPr>
            </w:pPr>
            <w:r w:rsidRPr="009A7BA6">
              <w:rPr>
                <w:rFonts w:asciiTheme="minorEastAsia" w:hAnsiTheme="minorEastAsia" w:hint="eastAsia"/>
                <w:szCs w:val="21"/>
              </w:rPr>
              <w:t>★节能管理</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①</w:t>
            </w:r>
            <w:proofErr w:type="gramStart"/>
            <w:r w:rsidRPr="009A7BA6">
              <w:rPr>
                <w:rFonts w:asciiTheme="minorEastAsia" w:hAnsiTheme="minorEastAsia" w:hint="eastAsia"/>
                <w:szCs w:val="21"/>
              </w:rPr>
              <w:t>管理端可设定</w:t>
            </w:r>
            <w:proofErr w:type="gramEnd"/>
            <w:r w:rsidRPr="009A7BA6">
              <w:rPr>
                <w:rFonts w:asciiTheme="minorEastAsia" w:hAnsiTheme="minorEastAsia" w:hint="eastAsia"/>
                <w:szCs w:val="21"/>
              </w:rPr>
              <w:t>客户端在多久时间</w:t>
            </w:r>
            <w:proofErr w:type="gramStart"/>
            <w:r w:rsidRPr="009A7BA6">
              <w:rPr>
                <w:rFonts w:asciiTheme="minorEastAsia" w:hAnsiTheme="minorEastAsia" w:hint="eastAsia"/>
                <w:szCs w:val="21"/>
              </w:rPr>
              <w:t>没操作</w:t>
            </w:r>
            <w:proofErr w:type="gramEnd"/>
            <w:r w:rsidRPr="009A7BA6">
              <w:rPr>
                <w:rFonts w:asciiTheme="minorEastAsia" w:hAnsiTheme="minorEastAsia" w:hint="eastAsia"/>
                <w:szCs w:val="21"/>
              </w:rPr>
              <w:t>后自动关闭显示器、自动进入待机状态、自动关机；②</w:t>
            </w:r>
            <w:proofErr w:type="gramStart"/>
            <w:r w:rsidRPr="009A7BA6">
              <w:rPr>
                <w:rFonts w:asciiTheme="minorEastAsia" w:hAnsiTheme="minorEastAsia" w:hint="eastAsia"/>
                <w:szCs w:val="21"/>
              </w:rPr>
              <w:t>管理端可设定</w:t>
            </w:r>
            <w:proofErr w:type="gramEnd"/>
            <w:r w:rsidRPr="009A7BA6">
              <w:rPr>
                <w:rFonts w:asciiTheme="minorEastAsia" w:hAnsiTheme="minorEastAsia" w:hint="eastAsia"/>
                <w:szCs w:val="21"/>
              </w:rPr>
              <w:t>允许客户端每天开机的时段、</w:t>
            </w:r>
            <w:r w:rsidRPr="009A7BA6">
              <w:rPr>
                <w:rFonts w:asciiTheme="minorEastAsia" w:hAnsiTheme="minorEastAsia" w:hint="eastAsia"/>
                <w:szCs w:val="21"/>
              </w:rPr>
              <w:lastRenderedPageBreak/>
              <w:t>一周中哪几天开机等；③根据预先设定费率生成能源使用报告，精确掌握节省的电费。</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8．★文件同步</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可以指定文件夹执行单向或双向同步，提供了自动同步参数设置和文件同步的策略，可以及时同步、周期同步、触发同步以及过滤同步。</w:t>
            </w:r>
          </w:p>
          <w:p w:rsidR="009A7BA6" w:rsidRPr="009A7BA6" w:rsidRDefault="009A7BA6" w:rsidP="009A7BA6">
            <w:pPr>
              <w:pStyle w:val="a5"/>
              <w:numPr>
                <w:ilvl w:val="0"/>
                <w:numId w:val="4"/>
              </w:numPr>
              <w:ind w:firstLineChars="0"/>
              <w:jc w:val="left"/>
              <w:rPr>
                <w:rFonts w:asciiTheme="minorEastAsia" w:hAnsiTheme="minorEastAsia"/>
                <w:szCs w:val="21"/>
              </w:rPr>
            </w:pPr>
            <w:r w:rsidRPr="009A7BA6">
              <w:rPr>
                <w:rFonts w:asciiTheme="minorEastAsia" w:hAnsiTheme="minorEastAsia" w:hint="eastAsia"/>
                <w:szCs w:val="21"/>
              </w:rPr>
              <w:t>还原模式保护切换</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支持及时还原、不还原、自动创建还原点及周期还原保护的设定，设定后立即生效，无需重启电脑，真正做到高效管理的目的。</w:t>
            </w:r>
          </w:p>
          <w:p w:rsidR="009A7BA6" w:rsidRPr="009A7BA6" w:rsidRDefault="009A7BA6" w:rsidP="009A7BA6">
            <w:pPr>
              <w:pStyle w:val="a5"/>
              <w:numPr>
                <w:ilvl w:val="0"/>
                <w:numId w:val="4"/>
              </w:numPr>
              <w:ind w:firstLineChars="0"/>
              <w:jc w:val="left"/>
              <w:rPr>
                <w:rFonts w:asciiTheme="minorEastAsia" w:hAnsiTheme="minorEastAsia"/>
                <w:szCs w:val="21"/>
              </w:rPr>
            </w:pPr>
            <w:r w:rsidRPr="009A7BA6">
              <w:rPr>
                <w:rFonts w:asciiTheme="minorEastAsia" w:hAnsiTheme="minorEastAsia" w:hint="eastAsia"/>
                <w:szCs w:val="21"/>
              </w:rPr>
              <w:t>★剩余空间警戒</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用户可随时自定义设定保护分区的剩余空间警戒值，当空间占用不足时，还原系统会自动绘制磁盘空间占用图案给用户，提示用户此台电脑空间占用明细。</w:t>
            </w:r>
          </w:p>
          <w:p w:rsidR="009A7BA6" w:rsidRPr="009A7BA6" w:rsidRDefault="009A7BA6" w:rsidP="009A7BA6">
            <w:pPr>
              <w:pStyle w:val="a5"/>
              <w:numPr>
                <w:ilvl w:val="0"/>
                <w:numId w:val="4"/>
              </w:numPr>
              <w:ind w:firstLineChars="0"/>
              <w:jc w:val="left"/>
              <w:rPr>
                <w:rFonts w:asciiTheme="minorEastAsia" w:hAnsiTheme="minorEastAsia"/>
                <w:szCs w:val="21"/>
              </w:rPr>
            </w:pPr>
            <w:r w:rsidRPr="009A7BA6">
              <w:rPr>
                <w:rFonts w:asciiTheme="minorEastAsia" w:hAnsiTheme="minorEastAsia" w:hint="eastAsia"/>
                <w:szCs w:val="21"/>
              </w:rPr>
              <w:t>★远程计划任务</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机房管理员可以设定远程开关机、还原\不还原、新建还原点以及远程Windows Update的工作排程，针对不同的计划任务提供了不同的参数设定策略。</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12. 丰富的系统应用</w:t>
            </w:r>
          </w:p>
          <w:p w:rsidR="009A7BA6" w:rsidRPr="009A7BA6" w:rsidRDefault="009A7BA6" w:rsidP="009A7BA6">
            <w:pPr>
              <w:jc w:val="left"/>
              <w:rPr>
                <w:rFonts w:asciiTheme="minorEastAsia" w:hAnsiTheme="minorEastAsia"/>
                <w:szCs w:val="21"/>
              </w:rPr>
            </w:pPr>
            <w:r w:rsidRPr="009A7BA6">
              <w:rPr>
                <w:rFonts w:asciiTheme="minorEastAsia" w:hAnsiTheme="minorEastAsia" w:hint="eastAsia"/>
                <w:szCs w:val="21"/>
              </w:rPr>
              <w:t>①支持对上线的客户端的名称显示切换，可自定义客户端的别名并保存与自动加载应用该别名；②支持对管理端程序的自锁定；③支持局域网、广域网以及混合模式的网络通信方式设定；④支持对登录的被控端隐藏右下角图标、强制关闭被控</w:t>
            </w:r>
            <w:proofErr w:type="gramStart"/>
            <w:r w:rsidRPr="009A7BA6">
              <w:rPr>
                <w:rFonts w:asciiTheme="minorEastAsia" w:hAnsiTheme="minorEastAsia" w:hint="eastAsia"/>
                <w:szCs w:val="21"/>
              </w:rPr>
              <w:t>端电脑</w:t>
            </w:r>
            <w:proofErr w:type="gramEnd"/>
            <w:r w:rsidRPr="009A7BA6">
              <w:rPr>
                <w:rFonts w:asciiTheme="minorEastAsia" w:hAnsiTheme="minorEastAsia" w:hint="eastAsia"/>
                <w:szCs w:val="21"/>
              </w:rPr>
              <w:t>电源；⑤对新建账号没有个数的限制，能够最大限度地满足用户对机房管理的需要；⑥支持调节有线和无线的网络选择，最好的满足客户对于主控端与被控端监看的传输控制；⑦管理员可以自定义远程锁定桌面的文字及图片，在锁定桌面的时候可以设定是否</w:t>
            </w:r>
            <w:proofErr w:type="gramStart"/>
            <w:r w:rsidRPr="009A7BA6">
              <w:rPr>
                <w:rFonts w:asciiTheme="minorEastAsia" w:hAnsiTheme="minorEastAsia" w:hint="eastAsia"/>
                <w:szCs w:val="21"/>
              </w:rPr>
              <w:t>锁定键鼠的</w:t>
            </w:r>
            <w:proofErr w:type="gramEnd"/>
            <w:r w:rsidRPr="009A7BA6">
              <w:rPr>
                <w:rFonts w:asciiTheme="minorEastAsia" w:hAnsiTheme="minorEastAsia" w:hint="eastAsia"/>
                <w:szCs w:val="21"/>
              </w:rPr>
              <w:t>策略；⑧支持主控端与被控端之间的对话，并且支持设定相关的字符数、图片个数等策略；⑨支持主控端程序的自运行；⑩支持传输算法（百兆与千兆）的切换。</w:t>
            </w:r>
          </w:p>
          <w:p w:rsidR="009A7BA6" w:rsidRPr="009A7BA6" w:rsidRDefault="00E76543" w:rsidP="009A7BA6">
            <w:pPr>
              <w:jc w:val="left"/>
              <w:rPr>
                <w:rFonts w:asciiTheme="minorEastAsia" w:hAnsiTheme="minorEastAsia"/>
              </w:rPr>
            </w:pPr>
            <w:r>
              <w:rPr>
                <w:rFonts w:asciiTheme="minorEastAsia" w:hAnsiTheme="minorEastAsia" w:hint="eastAsia"/>
              </w:rPr>
              <w:t>13.</w:t>
            </w:r>
            <w:r w:rsidRPr="009A7BA6">
              <w:rPr>
                <w:rFonts w:asciiTheme="minorEastAsia" w:hAnsiTheme="minorEastAsia" w:hint="eastAsia"/>
              </w:rPr>
              <w:t xml:space="preserve"> ★</w:t>
            </w:r>
            <w:r w:rsidR="009A7BA6" w:rsidRPr="009A7BA6">
              <w:rPr>
                <w:rFonts w:asciiTheme="minorEastAsia" w:hAnsiTheme="minorEastAsia" w:hint="eastAsia"/>
              </w:rPr>
              <w:t>防盗追踪：自动统计系统捆绑的设备总数和在线的设备数量，并能够在地图上查看设备的详细信息，帮助学校快速管理计算机设备。可以使用设备ID、设备名称或用户账号搜索指定或所有的计算机设备，在地图上快速定位设备当前所在位置；可以设置跟踪策略，通过地图查看计算机设备的移动轨迹，清晰地看到遗失设备在不同的时间段的位置变化，便于精确追踪设备。</w:t>
            </w:r>
          </w:p>
          <w:p w:rsidR="009A7BA6" w:rsidRDefault="00E76543" w:rsidP="00870022">
            <w:pPr>
              <w:jc w:val="left"/>
              <w:rPr>
                <w:rFonts w:asciiTheme="minorEastAsia" w:hAnsiTheme="minorEastAsia"/>
                <w:szCs w:val="21"/>
              </w:rPr>
            </w:pPr>
            <w:r>
              <w:rPr>
                <w:rFonts w:asciiTheme="minorEastAsia" w:hAnsiTheme="minorEastAsia" w:hint="eastAsia"/>
              </w:rPr>
              <w:t>14.</w:t>
            </w:r>
            <w:r w:rsidRPr="009A7BA6">
              <w:rPr>
                <w:rFonts w:asciiTheme="minorEastAsia" w:hAnsiTheme="minorEastAsia" w:hint="eastAsia"/>
              </w:rPr>
              <w:t xml:space="preserve"> ★</w:t>
            </w:r>
            <w:r w:rsidR="009A7BA6" w:rsidRPr="009A7BA6">
              <w:rPr>
                <w:rFonts w:asciiTheme="minorEastAsia" w:hAnsiTheme="minorEastAsia" w:hint="eastAsia"/>
              </w:rPr>
              <w:t>应用程序数据分析：教师自动统计客户端数量和使用过的应用程序数量，查看所有运行过的应用程序及其运行次数和时间；在图表中查看设备使用的总体情况、每日平均使用时间等详细信息；也可以根据学校需要统计指定时间段内最常用的10个应用程序，帮助学校快速掌握学生计算机的使用习惯，以及分析学习行为。在课后，管理员能够远程限制学生对应用程序的运行，对学生访问应用程序的权限进行个性化设置，帮助教师管理学生计算机应用程序的使用。</w:t>
            </w:r>
          </w:p>
        </w:tc>
        <w:tc>
          <w:tcPr>
            <w:tcW w:w="708" w:type="dxa"/>
            <w:vAlign w:val="center"/>
          </w:tcPr>
          <w:p w:rsidR="009A7BA6" w:rsidRPr="009A7BA6" w:rsidRDefault="009A7BA6" w:rsidP="009A7BA6">
            <w:pPr>
              <w:jc w:val="center"/>
              <w:rPr>
                <w:rFonts w:asciiTheme="minorEastAsia" w:hAnsiTheme="minorEastAsia"/>
                <w:b/>
                <w:szCs w:val="21"/>
              </w:rPr>
            </w:pPr>
            <w:r w:rsidRPr="009A7BA6">
              <w:rPr>
                <w:rFonts w:asciiTheme="minorEastAsia" w:hAnsiTheme="minorEastAsia" w:hint="eastAsia"/>
                <w:b/>
                <w:szCs w:val="21"/>
              </w:rPr>
              <w:lastRenderedPageBreak/>
              <w:t>250</w:t>
            </w:r>
          </w:p>
        </w:tc>
        <w:tc>
          <w:tcPr>
            <w:tcW w:w="709" w:type="dxa"/>
            <w:vAlign w:val="center"/>
          </w:tcPr>
          <w:p w:rsidR="009A7BA6" w:rsidRPr="009A7BA6" w:rsidRDefault="009A7BA6" w:rsidP="009A7BA6">
            <w:pPr>
              <w:jc w:val="center"/>
              <w:rPr>
                <w:rFonts w:asciiTheme="minorEastAsia" w:hAnsiTheme="minorEastAsia"/>
                <w:b/>
                <w:szCs w:val="21"/>
              </w:rPr>
            </w:pPr>
            <w:r w:rsidRPr="009A7BA6">
              <w:rPr>
                <w:rFonts w:asciiTheme="minorEastAsia" w:hAnsiTheme="minorEastAsia"/>
                <w:b/>
                <w:szCs w:val="21"/>
              </w:rPr>
              <w:t>点</w:t>
            </w:r>
          </w:p>
        </w:tc>
      </w:tr>
    </w:tbl>
    <w:p w:rsidR="009A7BA6" w:rsidRDefault="009A7BA6" w:rsidP="00120643">
      <w:pPr>
        <w:jc w:val="left"/>
        <w:rPr>
          <w:rFonts w:asciiTheme="minorEastAsia" w:hAnsiTheme="minorEastAsia"/>
          <w:szCs w:val="21"/>
        </w:rPr>
      </w:pPr>
    </w:p>
    <w:p w:rsidR="002875C1" w:rsidRDefault="002875C1" w:rsidP="00120643">
      <w:pPr>
        <w:jc w:val="left"/>
        <w:rPr>
          <w:rFonts w:asciiTheme="minorEastAsia" w:hAnsiTheme="minorEastAsia"/>
          <w:szCs w:val="21"/>
        </w:rPr>
      </w:pPr>
    </w:p>
    <w:p w:rsidR="002875C1" w:rsidRDefault="002875C1" w:rsidP="00120643">
      <w:pPr>
        <w:jc w:val="left"/>
        <w:rPr>
          <w:rFonts w:asciiTheme="minorEastAsia" w:hAnsiTheme="minorEastAsia"/>
          <w:szCs w:val="21"/>
        </w:rPr>
      </w:pPr>
    </w:p>
    <w:p w:rsidR="001B030A" w:rsidRDefault="001B030A" w:rsidP="00120643">
      <w:pPr>
        <w:jc w:val="left"/>
        <w:rPr>
          <w:rFonts w:asciiTheme="minorEastAsia" w:hAnsiTheme="minorEastAsia"/>
          <w:szCs w:val="21"/>
        </w:rPr>
      </w:pPr>
    </w:p>
    <w:p w:rsidR="00AD5E80" w:rsidRPr="00852C89" w:rsidRDefault="00AD5E80" w:rsidP="00852C89">
      <w:pPr>
        <w:spacing w:line="360" w:lineRule="auto"/>
        <w:jc w:val="center"/>
        <w:rPr>
          <w:rFonts w:asciiTheme="minorEastAsia" w:hAnsiTheme="minorEastAsia"/>
          <w:b/>
          <w:sz w:val="30"/>
          <w:szCs w:val="30"/>
        </w:rPr>
      </w:pPr>
      <w:r w:rsidRPr="00852C89">
        <w:rPr>
          <w:rFonts w:asciiTheme="minorEastAsia" w:hAnsiTheme="minorEastAsia" w:hint="eastAsia"/>
          <w:b/>
          <w:sz w:val="30"/>
          <w:szCs w:val="30"/>
        </w:rPr>
        <w:lastRenderedPageBreak/>
        <w:t>评分</w:t>
      </w:r>
      <w:r w:rsidR="00A54B23" w:rsidRPr="00852C89">
        <w:rPr>
          <w:rFonts w:asciiTheme="minorEastAsia" w:hAnsiTheme="minorEastAsia" w:hint="eastAsia"/>
          <w:b/>
          <w:sz w:val="30"/>
          <w:szCs w:val="30"/>
        </w:rPr>
        <w:t>办法</w:t>
      </w:r>
    </w:p>
    <w:p w:rsidR="008B29AC" w:rsidRPr="00852C89" w:rsidRDefault="008B29AC" w:rsidP="005D54CA">
      <w:pPr>
        <w:ind w:firstLineChars="200" w:firstLine="420"/>
        <w:jc w:val="left"/>
        <w:rPr>
          <w:rFonts w:ascii="宋体" w:hAnsi="宋体"/>
          <w:szCs w:val="21"/>
        </w:rPr>
      </w:pPr>
      <w:r w:rsidRPr="00852C89">
        <w:rPr>
          <w:rFonts w:ascii="宋体" w:hAnsi="宋体" w:hint="eastAsia"/>
          <w:szCs w:val="21"/>
        </w:rPr>
        <w:t>本项目采用综合评分法，由评委会对所有有效投标进行详细的评分，采用百分制计分方法。评标时，评标委员会各成员</w:t>
      </w:r>
      <w:r w:rsidRPr="00852C89">
        <w:rPr>
          <w:rFonts w:ascii="宋体" w:hAnsi="宋体"/>
          <w:szCs w:val="21"/>
        </w:rPr>
        <w:t>遵循公平、公正、择优原则</w:t>
      </w:r>
      <w:r w:rsidRPr="00852C89">
        <w:rPr>
          <w:rFonts w:ascii="宋体" w:hAnsi="宋体" w:hint="eastAsia"/>
          <w:szCs w:val="21"/>
        </w:rPr>
        <w:t>，独立对每个有效投标人的标书进行评价、打分，评标</w:t>
      </w:r>
      <w:r w:rsidRPr="00852C89">
        <w:rPr>
          <w:rFonts w:ascii="宋体" w:hAnsi="宋体" w:hint="eastAsia"/>
          <w:spacing w:val="-6"/>
          <w:szCs w:val="21"/>
        </w:rPr>
        <w:t>委会按评审后最终综合得分由高到低顺序排列名次，并</w:t>
      </w:r>
      <w:r w:rsidRPr="00852C89">
        <w:rPr>
          <w:rFonts w:ascii="宋体" w:hAnsi="宋体" w:hint="eastAsia"/>
          <w:szCs w:val="21"/>
        </w:rPr>
        <w:t>推荐出中标人</w:t>
      </w:r>
      <w:r w:rsidRPr="00852C89">
        <w:rPr>
          <w:rFonts w:ascii="宋体" w:hAnsi="宋体" w:hint="eastAsia"/>
          <w:spacing w:val="-6"/>
          <w:szCs w:val="21"/>
        </w:rPr>
        <w:t>。如得分相同的，按投标报价由低到高顺序</w:t>
      </w:r>
      <w:r w:rsidRPr="00852C89">
        <w:rPr>
          <w:rFonts w:ascii="宋体" w:hAnsi="宋体" w:hint="eastAsia"/>
          <w:szCs w:val="21"/>
        </w:rPr>
        <w:t>推荐中标人。</w:t>
      </w:r>
    </w:p>
    <w:p w:rsidR="00AD5E80" w:rsidRPr="00852C89" w:rsidRDefault="008B29AC" w:rsidP="00852C89">
      <w:pPr>
        <w:spacing w:line="360" w:lineRule="auto"/>
        <w:jc w:val="left"/>
        <w:rPr>
          <w:rFonts w:ascii="宋体" w:hAnsi="宋体"/>
          <w:szCs w:val="21"/>
        </w:rPr>
      </w:pPr>
      <w:r w:rsidRPr="00852C89">
        <w:rPr>
          <w:rFonts w:ascii="宋体" w:hAnsi="宋体"/>
          <w:szCs w:val="21"/>
        </w:rPr>
        <w:t>评分细则：</w:t>
      </w:r>
      <w:r w:rsidRPr="00852C89">
        <w:rPr>
          <w:rFonts w:ascii="宋体" w:hAnsi="宋体" w:hint="eastAsia"/>
          <w:szCs w:val="21"/>
        </w:rPr>
        <w:t>本项目采用综合打分法，总分为100分。具体打分方法如下：</w:t>
      </w:r>
    </w:p>
    <w:tbl>
      <w:tblPr>
        <w:tblStyle w:val="a6"/>
        <w:tblW w:w="9214" w:type="dxa"/>
        <w:tblInd w:w="-459" w:type="dxa"/>
        <w:tblLook w:val="04A0" w:firstRow="1" w:lastRow="0" w:firstColumn="1" w:lastColumn="0" w:noHBand="0" w:noVBand="1"/>
      </w:tblPr>
      <w:tblGrid>
        <w:gridCol w:w="1276"/>
        <w:gridCol w:w="1276"/>
        <w:gridCol w:w="5953"/>
        <w:gridCol w:w="709"/>
      </w:tblGrid>
      <w:tr w:rsidR="00A54B23" w:rsidTr="00E76543">
        <w:tc>
          <w:tcPr>
            <w:tcW w:w="1276" w:type="dxa"/>
            <w:vAlign w:val="center"/>
          </w:tcPr>
          <w:p w:rsidR="00A54B23" w:rsidRPr="001411C1" w:rsidRDefault="00A54B23" w:rsidP="00A54B23">
            <w:pPr>
              <w:widowControl/>
              <w:jc w:val="center"/>
              <w:rPr>
                <w:rFonts w:ascii="宋体" w:hAnsi="宋体" w:cs="宋体"/>
                <w:b/>
                <w:bCs/>
                <w:kern w:val="0"/>
                <w:sz w:val="24"/>
              </w:rPr>
            </w:pPr>
            <w:r w:rsidRPr="001411C1">
              <w:rPr>
                <w:rFonts w:ascii="宋体" w:hAnsi="宋体" w:cs="宋体" w:hint="eastAsia"/>
                <w:b/>
                <w:bCs/>
                <w:kern w:val="0"/>
                <w:sz w:val="24"/>
              </w:rPr>
              <w:t>项目</w:t>
            </w:r>
          </w:p>
        </w:tc>
        <w:tc>
          <w:tcPr>
            <w:tcW w:w="1276" w:type="dxa"/>
            <w:vAlign w:val="center"/>
          </w:tcPr>
          <w:p w:rsidR="00A54B23" w:rsidRPr="001411C1" w:rsidRDefault="00A54B23" w:rsidP="00F95364">
            <w:pPr>
              <w:widowControl/>
              <w:jc w:val="center"/>
              <w:rPr>
                <w:rFonts w:ascii="宋体" w:hAnsi="宋体" w:cs="宋体"/>
                <w:b/>
                <w:bCs/>
                <w:kern w:val="0"/>
                <w:sz w:val="24"/>
              </w:rPr>
            </w:pPr>
            <w:r w:rsidRPr="001411C1">
              <w:rPr>
                <w:rFonts w:ascii="宋体" w:hAnsi="宋体" w:cs="宋体" w:hint="eastAsia"/>
                <w:b/>
                <w:bCs/>
                <w:kern w:val="0"/>
                <w:sz w:val="24"/>
              </w:rPr>
              <w:t>评分类别</w:t>
            </w:r>
          </w:p>
        </w:tc>
        <w:tc>
          <w:tcPr>
            <w:tcW w:w="5953" w:type="dxa"/>
            <w:vAlign w:val="center"/>
          </w:tcPr>
          <w:p w:rsidR="00A54B23" w:rsidRPr="001411C1" w:rsidRDefault="00A54B23" w:rsidP="007757F2">
            <w:pPr>
              <w:widowControl/>
              <w:jc w:val="center"/>
              <w:rPr>
                <w:rFonts w:ascii="宋体" w:hAnsi="宋体" w:cs="宋体"/>
                <w:b/>
                <w:bCs/>
                <w:kern w:val="0"/>
                <w:sz w:val="24"/>
              </w:rPr>
            </w:pPr>
            <w:r w:rsidRPr="001411C1">
              <w:rPr>
                <w:rFonts w:ascii="宋体" w:hAnsi="宋体" w:cs="宋体" w:hint="eastAsia"/>
                <w:b/>
                <w:bCs/>
                <w:kern w:val="0"/>
                <w:sz w:val="24"/>
              </w:rPr>
              <w:t>评分内容及方法</w:t>
            </w:r>
          </w:p>
        </w:tc>
        <w:tc>
          <w:tcPr>
            <w:tcW w:w="709" w:type="dxa"/>
            <w:vAlign w:val="center"/>
          </w:tcPr>
          <w:p w:rsidR="00A54B23" w:rsidRPr="001411C1" w:rsidRDefault="00A54B23" w:rsidP="00A54B23">
            <w:pPr>
              <w:widowControl/>
              <w:jc w:val="center"/>
              <w:rPr>
                <w:rFonts w:ascii="宋体" w:hAnsi="宋体" w:cs="宋体"/>
                <w:b/>
                <w:bCs/>
                <w:kern w:val="0"/>
                <w:sz w:val="24"/>
              </w:rPr>
            </w:pPr>
            <w:r w:rsidRPr="001411C1">
              <w:rPr>
                <w:rFonts w:ascii="宋体" w:hAnsi="宋体" w:cs="宋体" w:hint="eastAsia"/>
                <w:b/>
                <w:bCs/>
                <w:kern w:val="0"/>
                <w:sz w:val="24"/>
              </w:rPr>
              <w:t>得分</w:t>
            </w:r>
          </w:p>
        </w:tc>
      </w:tr>
      <w:tr w:rsidR="00A54B23" w:rsidTr="00E76543">
        <w:tc>
          <w:tcPr>
            <w:tcW w:w="1276" w:type="dxa"/>
            <w:vAlign w:val="center"/>
          </w:tcPr>
          <w:p w:rsidR="00A54B23" w:rsidRPr="001411C1" w:rsidRDefault="00A54B23" w:rsidP="00A54B23">
            <w:pPr>
              <w:widowControl/>
              <w:jc w:val="center"/>
              <w:rPr>
                <w:rFonts w:ascii="宋体" w:hAnsi="宋体" w:cs="宋体"/>
                <w:b/>
                <w:bCs/>
                <w:kern w:val="0"/>
                <w:sz w:val="24"/>
              </w:rPr>
            </w:pPr>
            <w:r w:rsidRPr="001411C1">
              <w:rPr>
                <w:rFonts w:ascii="宋体" w:hAnsi="宋体" w:cs="宋体" w:hint="eastAsia"/>
                <w:b/>
                <w:bCs/>
                <w:kern w:val="0"/>
                <w:sz w:val="24"/>
              </w:rPr>
              <w:t>价格分</w:t>
            </w:r>
          </w:p>
        </w:tc>
        <w:tc>
          <w:tcPr>
            <w:tcW w:w="1276" w:type="dxa"/>
            <w:vAlign w:val="center"/>
          </w:tcPr>
          <w:p w:rsidR="00A54B23" w:rsidRPr="001411C1" w:rsidRDefault="00A54B23" w:rsidP="00F95364">
            <w:pPr>
              <w:widowControl/>
              <w:jc w:val="center"/>
              <w:rPr>
                <w:rFonts w:ascii="宋体" w:hAnsi="宋体" w:cs="宋体"/>
                <w:b/>
                <w:bCs/>
                <w:kern w:val="0"/>
                <w:sz w:val="24"/>
              </w:rPr>
            </w:pPr>
            <w:r w:rsidRPr="001411C1">
              <w:rPr>
                <w:rFonts w:ascii="宋体" w:hAnsi="宋体" w:cs="宋体" w:hint="eastAsia"/>
                <w:b/>
                <w:bCs/>
                <w:kern w:val="0"/>
                <w:sz w:val="24"/>
              </w:rPr>
              <w:t>价格标准</w:t>
            </w:r>
          </w:p>
        </w:tc>
        <w:tc>
          <w:tcPr>
            <w:tcW w:w="5953" w:type="dxa"/>
            <w:vAlign w:val="center"/>
          </w:tcPr>
          <w:p w:rsidR="00A54B23" w:rsidRPr="00A54B23" w:rsidRDefault="00A54B23" w:rsidP="007757F2">
            <w:pPr>
              <w:rPr>
                <w:rFonts w:ascii="宋体" w:hAnsi="宋体" w:cs="宋体"/>
                <w:szCs w:val="21"/>
              </w:rPr>
            </w:pPr>
            <w:r w:rsidRPr="00A54B23">
              <w:rPr>
                <w:rFonts w:ascii="宋体" w:hAnsi="宋体" w:cs="宋体" w:hint="eastAsia"/>
                <w:szCs w:val="21"/>
              </w:rPr>
              <w:t>以有效投标人（通过符合性筛选）报价中价格最低的投标报价为基准价，其基准价格分为30分。其他投标人的价格得分=（评标基准价/ 其他投标人报价）×30（精确到小数点后两位）分。</w:t>
            </w:r>
          </w:p>
        </w:tc>
        <w:tc>
          <w:tcPr>
            <w:tcW w:w="709" w:type="dxa"/>
            <w:vAlign w:val="center"/>
          </w:tcPr>
          <w:p w:rsidR="00A54B23" w:rsidRPr="001411C1" w:rsidRDefault="00A54B23" w:rsidP="00A54B23">
            <w:pPr>
              <w:widowControl/>
              <w:jc w:val="center"/>
              <w:rPr>
                <w:rFonts w:ascii="宋体" w:hAnsi="宋体" w:cs="宋体"/>
                <w:b/>
                <w:bCs/>
                <w:kern w:val="0"/>
                <w:sz w:val="24"/>
              </w:rPr>
            </w:pPr>
            <w:r>
              <w:rPr>
                <w:rFonts w:ascii="宋体" w:hAnsi="宋体" w:cs="宋体" w:hint="eastAsia"/>
                <w:b/>
                <w:bCs/>
                <w:kern w:val="0"/>
                <w:sz w:val="24"/>
              </w:rPr>
              <w:t>30</w:t>
            </w:r>
          </w:p>
        </w:tc>
      </w:tr>
      <w:tr w:rsidR="00A54B23" w:rsidTr="00E76543">
        <w:tc>
          <w:tcPr>
            <w:tcW w:w="1276" w:type="dxa"/>
            <w:vMerge w:val="restart"/>
            <w:vAlign w:val="center"/>
          </w:tcPr>
          <w:p w:rsidR="00A54B23" w:rsidRPr="00A54B23" w:rsidRDefault="00A54B23" w:rsidP="00A54B23">
            <w:pPr>
              <w:widowControl/>
              <w:jc w:val="center"/>
              <w:rPr>
                <w:rFonts w:ascii="宋体" w:hAnsi="宋体" w:cs="宋体"/>
                <w:b/>
                <w:bCs/>
                <w:kern w:val="0"/>
                <w:sz w:val="24"/>
              </w:rPr>
            </w:pPr>
            <w:r w:rsidRPr="00A54B23">
              <w:rPr>
                <w:rFonts w:ascii="宋体" w:hAnsi="宋体" w:cs="宋体"/>
                <w:b/>
                <w:bCs/>
                <w:kern w:val="0"/>
                <w:sz w:val="24"/>
              </w:rPr>
              <w:t>主要货物响应情况</w:t>
            </w:r>
          </w:p>
        </w:tc>
        <w:tc>
          <w:tcPr>
            <w:tcW w:w="1276" w:type="dxa"/>
            <w:vAlign w:val="center"/>
          </w:tcPr>
          <w:p w:rsidR="00A54B23" w:rsidRPr="00A54B23" w:rsidRDefault="00A54B23" w:rsidP="00F95364">
            <w:pPr>
              <w:widowControl/>
              <w:jc w:val="center"/>
              <w:rPr>
                <w:rFonts w:ascii="宋体" w:hAnsi="宋体" w:cs="宋体"/>
                <w:b/>
                <w:bCs/>
                <w:kern w:val="0"/>
                <w:sz w:val="24"/>
              </w:rPr>
            </w:pPr>
            <w:r w:rsidRPr="00A54B23">
              <w:rPr>
                <w:rFonts w:ascii="宋体" w:hAnsi="宋体" w:cs="宋体"/>
                <w:b/>
                <w:bCs/>
                <w:kern w:val="0"/>
                <w:sz w:val="24"/>
              </w:rPr>
              <w:t>资质响应</w:t>
            </w:r>
          </w:p>
        </w:tc>
        <w:tc>
          <w:tcPr>
            <w:tcW w:w="5953" w:type="dxa"/>
          </w:tcPr>
          <w:p w:rsidR="00AB6656" w:rsidRDefault="00A54B23" w:rsidP="00A54B23">
            <w:pPr>
              <w:jc w:val="left"/>
              <w:rPr>
                <w:rFonts w:ascii="宋体" w:hAnsi="宋体" w:cs="宋体"/>
                <w:szCs w:val="21"/>
              </w:rPr>
            </w:pPr>
            <w:r w:rsidRPr="00A54B23">
              <w:rPr>
                <w:rFonts w:ascii="宋体" w:hAnsi="宋体" w:cs="宋体" w:hint="eastAsia"/>
                <w:szCs w:val="21"/>
              </w:rPr>
              <w:t>1.）</w:t>
            </w:r>
            <w:r w:rsidR="00902023">
              <w:rPr>
                <w:rFonts w:ascii="宋体" w:hAnsi="宋体" w:cs="宋体" w:hint="eastAsia"/>
                <w:szCs w:val="21"/>
              </w:rPr>
              <w:t>所</w:t>
            </w:r>
            <w:r w:rsidR="00AB6656">
              <w:rPr>
                <w:rFonts w:ascii="宋体" w:hAnsi="宋体" w:cs="宋体" w:hint="eastAsia"/>
                <w:szCs w:val="21"/>
              </w:rPr>
              <w:t>投产品生产厂商注册资金</w:t>
            </w:r>
            <w:r w:rsidR="00902023">
              <w:rPr>
                <w:rFonts w:ascii="宋体" w:hAnsi="宋体" w:cs="宋体" w:hint="eastAsia"/>
                <w:szCs w:val="21"/>
              </w:rPr>
              <w:t>要求</w:t>
            </w:r>
            <w:r w:rsidR="00AB6656">
              <w:rPr>
                <w:rFonts w:ascii="宋体" w:hAnsi="宋体" w:cs="宋体" w:hint="eastAsia"/>
                <w:szCs w:val="21"/>
              </w:rPr>
              <w:t>为500万以上，提供营业执照。（得2分）</w:t>
            </w:r>
          </w:p>
          <w:p w:rsidR="00A54B23" w:rsidRDefault="00A54B23" w:rsidP="00A54B23">
            <w:pPr>
              <w:jc w:val="left"/>
              <w:rPr>
                <w:rFonts w:ascii="宋体" w:hAnsi="宋体" w:cs="宋体"/>
                <w:szCs w:val="21"/>
              </w:rPr>
            </w:pPr>
            <w:r w:rsidRPr="00A54B23">
              <w:rPr>
                <w:rFonts w:ascii="宋体" w:hAnsi="宋体" w:cs="宋体" w:hint="eastAsia"/>
                <w:szCs w:val="21"/>
              </w:rPr>
              <w:t>2.）</w:t>
            </w:r>
            <w:r w:rsidR="00836A04">
              <w:rPr>
                <w:rFonts w:ascii="宋体" w:hAnsi="宋体" w:cs="宋体" w:hint="eastAsia"/>
                <w:szCs w:val="21"/>
              </w:rPr>
              <w:t>所投产品生产厂商具有软件企业认证证书。（得2分）</w:t>
            </w:r>
          </w:p>
          <w:p w:rsidR="00AB6656" w:rsidRPr="00A54B23" w:rsidRDefault="00AB6656" w:rsidP="00AB6656">
            <w:pPr>
              <w:jc w:val="left"/>
              <w:rPr>
                <w:rFonts w:ascii="宋体" w:hAnsi="宋体" w:cs="宋体"/>
                <w:szCs w:val="21"/>
              </w:rPr>
            </w:pPr>
            <w:r>
              <w:rPr>
                <w:rFonts w:ascii="宋体" w:hAnsi="宋体" w:cs="宋体" w:hint="eastAsia"/>
                <w:szCs w:val="21"/>
              </w:rPr>
              <w:t>3.）投产品生产厂商具有国家高新技术企业证书。（得2分）</w:t>
            </w:r>
          </w:p>
          <w:p w:rsidR="00A54B23" w:rsidRDefault="00AB6656" w:rsidP="00A54B23">
            <w:pPr>
              <w:jc w:val="left"/>
              <w:rPr>
                <w:rFonts w:ascii="宋体" w:hAnsi="宋体" w:cs="宋体"/>
                <w:szCs w:val="21"/>
              </w:rPr>
            </w:pPr>
            <w:r>
              <w:rPr>
                <w:rFonts w:ascii="宋体" w:hAnsi="宋体" w:cs="宋体" w:hint="eastAsia"/>
                <w:szCs w:val="21"/>
              </w:rPr>
              <w:t>4</w:t>
            </w:r>
            <w:r w:rsidR="00A54B23" w:rsidRPr="00A54B23">
              <w:rPr>
                <w:rFonts w:ascii="宋体" w:hAnsi="宋体" w:cs="宋体" w:hint="eastAsia"/>
                <w:szCs w:val="21"/>
              </w:rPr>
              <w:t>.）</w:t>
            </w:r>
            <w:r w:rsidR="00836A04">
              <w:rPr>
                <w:rFonts w:ascii="宋体" w:hAnsi="宋体" w:cs="宋体" w:hint="eastAsia"/>
                <w:szCs w:val="21"/>
              </w:rPr>
              <w:t>所投产品生产厂商具有质量管理体系认证证书（ISO9001:2008）。（得2分）</w:t>
            </w:r>
          </w:p>
          <w:p w:rsidR="00A54B23" w:rsidRDefault="00AB6656" w:rsidP="00A54B23">
            <w:pPr>
              <w:jc w:val="left"/>
              <w:rPr>
                <w:rFonts w:ascii="宋体" w:hAnsi="宋体" w:cs="宋体"/>
                <w:szCs w:val="21"/>
              </w:rPr>
            </w:pPr>
            <w:r>
              <w:rPr>
                <w:rFonts w:ascii="宋体" w:hAnsi="宋体" w:cs="宋体" w:hint="eastAsia"/>
                <w:szCs w:val="21"/>
              </w:rPr>
              <w:t>5</w:t>
            </w:r>
            <w:r w:rsidR="00A54B23">
              <w:rPr>
                <w:rFonts w:ascii="宋体" w:hAnsi="宋体" w:cs="宋体" w:hint="eastAsia"/>
                <w:szCs w:val="21"/>
              </w:rPr>
              <w:t>.）</w:t>
            </w:r>
            <w:r w:rsidR="00836A04">
              <w:rPr>
                <w:rFonts w:ascii="宋体" w:hAnsi="宋体" w:cs="宋体" w:hint="eastAsia"/>
                <w:szCs w:val="21"/>
              </w:rPr>
              <w:t>所投产品生产厂商具有信息安全管理体系认证证书（ISO27001:2013）。（得2分）</w:t>
            </w:r>
          </w:p>
          <w:p w:rsidR="00936F24" w:rsidRDefault="00AB6656" w:rsidP="00A54B23">
            <w:pPr>
              <w:jc w:val="left"/>
              <w:rPr>
                <w:rFonts w:ascii="宋体" w:hAnsi="宋体" w:cs="宋体"/>
                <w:szCs w:val="21"/>
              </w:rPr>
            </w:pPr>
            <w:r>
              <w:rPr>
                <w:rFonts w:ascii="宋体" w:hAnsi="宋体" w:cs="宋体" w:hint="eastAsia"/>
                <w:szCs w:val="21"/>
              </w:rPr>
              <w:t>6</w:t>
            </w:r>
            <w:r w:rsidR="00A54B23">
              <w:rPr>
                <w:rFonts w:ascii="宋体" w:hAnsi="宋体" w:cs="宋体" w:hint="eastAsia"/>
                <w:szCs w:val="21"/>
              </w:rPr>
              <w:t>.）</w:t>
            </w:r>
            <w:r w:rsidR="00936F24">
              <w:rPr>
                <w:rFonts w:ascii="宋体" w:hAnsi="宋体" w:cs="宋体" w:hint="eastAsia"/>
                <w:szCs w:val="21"/>
              </w:rPr>
              <w:t>所投产品生产厂商</w:t>
            </w:r>
            <w:r w:rsidR="000539C5">
              <w:rPr>
                <w:rFonts w:ascii="宋体" w:hAnsi="宋体" w:cs="宋体" w:hint="eastAsia"/>
                <w:szCs w:val="21"/>
              </w:rPr>
              <w:t>涉及</w:t>
            </w:r>
            <w:r w:rsidR="00936F24">
              <w:rPr>
                <w:rFonts w:ascii="宋体" w:hAnsi="宋体" w:cs="宋体" w:hint="eastAsia"/>
                <w:szCs w:val="21"/>
              </w:rPr>
              <w:t>对外贸易，提供对外贸易经营者备案登记表。（得2分）</w:t>
            </w:r>
          </w:p>
          <w:p w:rsidR="00A54B23" w:rsidRDefault="000539C5" w:rsidP="00A54B23">
            <w:pPr>
              <w:jc w:val="left"/>
              <w:rPr>
                <w:rFonts w:ascii="宋体" w:hAnsi="宋体" w:cs="宋体"/>
                <w:szCs w:val="21"/>
              </w:rPr>
            </w:pPr>
            <w:r>
              <w:rPr>
                <w:rFonts w:ascii="宋体" w:hAnsi="宋体" w:cs="宋体" w:hint="eastAsia"/>
                <w:szCs w:val="21"/>
              </w:rPr>
              <w:t>7.）</w:t>
            </w:r>
            <w:r w:rsidR="00836A04">
              <w:rPr>
                <w:rFonts w:ascii="宋体" w:hAnsi="宋体" w:cs="宋体" w:hint="eastAsia"/>
                <w:szCs w:val="21"/>
              </w:rPr>
              <w:t>所投产品具有计算机软件著作权等级证书。（得2分）</w:t>
            </w:r>
          </w:p>
          <w:p w:rsidR="00A54B23" w:rsidRDefault="000539C5" w:rsidP="00A54B23">
            <w:pPr>
              <w:jc w:val="left"/>
              <w:rPr>
                <w:rFonts w:ascii="宋体" w:hAnsi="宋体" w:cs="宋体"/>
                <w:szCs w:val="21"/>
              </w:rPr>
            </w:pPr>
            <w:r>
              <w:rPr>
                <w:rFonts w:ascii="宋体" w:hAnsi="宋体" w:cs="宋体" w:hint="eastAsia"/>
                <w:szCs w:val="21"/>
              </w:rPr>
              <w:t>8</w:t>
            </w:r>
            <w:r w:rsidR="00A54B23">
              <w:rPr>
                <w:rFonts w:ascii="宋体" w:hAnsi="宋体" w:cs="宋体" w:hint="eastAsia"/>
                <w:szCs w:val="21"/>
              </w:rPr>
              <w:t>.）</w:t>
            </w:r>
            <w:r w:rsidR="00836A04">
              <w:rPr>
                <w:rFonts w:ascii="宋体" w:hAnsi="宋体" w:cs="宋体" w:hint="eastAsia"/>
                <w:szCs w:val="21"/>
              </w:rPr>
              <w:t>所投产品具有软件产品登记证书。（得2分）</w:t>
            </w:r>
          </w:p>
          <w:p w:rsidR="00A54B23" w:rsidRDefault="000539C5" w:rsidP="00A54B23">
            <w:pPr>
              <w:jc w:val="left"/>
              <w:rPr>
                <w:rFonts w:ascii="宋体" w:hAnsi="宋体" w:cs="宋体"/>
                <w:szCs w:val="21"/>
              </w:rPr>
            </w:pPr>
            <w:r>
              <w:rPr>
                <w:rFonts w:ascii="宋体" w:hAnsi="宋体" w:cs="宋体" w:hint="eastAsia"/>
                <w:szCs w:val="21"/>
              </w:rPr>
              <w:t>9</w:t>
            </w:r>
            <w:r w:rsidR="00A54B23">
              <w:rPr>
                <w:rFonts w:ascii="宋体" w:hAnsi="宋体" w:cs="宋体" w:hint="eastAsia"/>
                <w:szCs w:val="21"/>
              </w:rPr>
              <w:t>.）</w:t>
            </w:r>
            <w:r w:rsidR="00836A04">
              <w:rPr>
                <w:rFonts w:ascii="宋体" w:hAnsi="宋体" w:cs="宋体" w:hint="eastAsia"/>
                <w:szCs w:val="21"/>
              </w:rPr>
              <w:t>所投产品具有权威机构出具的计算机软件检测报告。（得2分）</w:t>
            </w:r>
          </w:p>
          <w:p w:rsidR="00A54B23" w:rsidRDefault="000539C5" w:rsidP="00A54B23">
            <w:pPr>
              <w:jc w:val="left"/>
              <w:rPr>
                <w:rFonts w:ascii="宋体" w:hAnsi="宋体" w:cs="宋体"/>
                <w:szCs w:val="21"/>
              </w:rPr>
            </w:pPr>
            <w:r>
              <w:rPr>
                <w:rFonts w:ascii="宋体" w:hAnsi="宋体" w:cs="宋体" w:hint="eastAsia"/>
                <w:szCs w:val="21"/>
              </w:rPr>
              <w:t>10</w:t>
            </w:r>
            <w:r w:rsidR="00A54B23">
              <w:rPr>
                <w:rFonts w:ascii="宋体" w:hAnsi="宋体" w:cs="宋体" w:hint="eastAsia"/>
                <w:szCs w:val="21"/>
              </w:rPr>
              <w:t>.）</w:t>
            </w:r>
            <w:r w:rsidR="00D12B02">
              <w:rPr>
                <w:rFonts w:ascii="宋体" w:hAnsi="宋体" w:cs="宋体" w:hint="eastAsia"/>
                <w:szCs w:val="21"/>
              </w:rPr>
              <w:t>投标人要求具有原厂商出具的针对此项目的授权和售后服务承诺书原件，加盖鲜章。（得2分）</w:t>
            </w:r>
          </w:p>
          <w:p w:rsidR="00C26BF1" w:rsidRDefault="00D12B02" w:rsidP="00C26BF1">
            <w:pPr>
              <w:jc w:val="left"/>
              <w:rPr>
                <w:rFonts w:ascii="宋体" w:hAnsi="宋体" w:cs="宋体"/>
                <w:b/>
                <w:szCs w:val="21"/>
              </w:rPr>
            </w:pPr>
            <w:r w:rsidRPr="00AB6656">
              <w:rPr>
                <w:rFonts w:ascii="宋体" w:hAnsi="宋体" w:cs="宋体" w:hint="eastAsia"/>
                <w:b/>
                <w:szCs w:val="21"/>
              </w:rPr>
              <w:t>备注：</w:t>
            </w:r>
          </w:p>
          <w:p w:rsidR="00C26BF1" w:rsidRDefault="00C26BF1" w:rsidP="00C26BF1">
            <w:pPr>
              <w:jc w:val="left"/>
              <w:rPr>
                <w:rFonts w:ascii="宋体" w:hAnsi="宋体" w:cs="宋体"/>
                <w:b/>
                <w:szCs w:val="21"/>
              </w:rPr>
            </w:pPr>
            <w:r>
              <w:rPr>
                <w:rFonts w:ascii="宋体" w:hAnsi="宋体" w:cs="宋体" w:hint="eastAsia"/>
                <w:b/>
                <w:szCs w:val="21"/>
              </w:rPr>
              <w:t>1.</w:t>
            </w:r>
            <w:r w:rsidR="00D12B02" w:rsidRPr="00AB6656">
              <w:rPr>
                <w:rFonts w:ascii="宋体" w:hAnsi="宋体" w:cs="宋体" w:hint="eastAsia"/>
                <w:b/>
                <w:szCs w:val="21"/>
              </w:rPr>
              <w:t>以上资质要求开标现场提供原件备查，不提供则不得分。</w:t>
            </w:r>
          </w:p>
          <w:p w:rsidR="00D12B02" w:rsidRPr="00AB6656" w:rsidRDefault="00C26BF1" w:rsidP="00C26BF1">
            <w:pPr>
              <w:jc w:val="left"/>
              <w:rPr>
                <w:rFonts w:ascii="宋体" w:hAnsi="宋体" w:cs="宋体"/>
                <w:b/>
                <w:szCs w:val="21"/>
              </w:rPr>
            </w:pPr>
            <w:r>
              <w:rPr>
                <w:rFonts w:ascii="宋体" w:hAnsi="宋体" w:cs="宋体" w:hint="eastAsia"/>
                <w:b/>
                <w:szCs w:val="21"/>
              </w:rPr>
              <w:t>2.其中要求</w:t>
            </w:r>
            <w:r w:rsidRPr="00C26BF1">
              <w:rPr>
                <w:rFonts w:ascii="宋体" w:hAnsi="宋体" w:cs="宋体" w:hint="eastAsia"/>
                <w:b/>
                <w:szCs w:val="21"/>
              </w:rPr>
              <w:t>原厂商出具的针对此项目的授权和售后服务承诺书必须提供原件，</w:t>
            </w:r>
            <w:r>
              <w:rPr>
                <w:rFonts w:ascii="宋体" w:hAnsi="宋体" w:cs="宋体" w:hint="eastAsia"/>
                <w:b/>
                <w:szCs w:val="21"/>
              </w:rPr>
              <w:t>不提供</w:t>
            </w:r>
            <w:r w:rsidR="00370753">
              <w:rPr>
                <w:rFonts w:ascii="宋体" w:hAnsi="宋体" w:cs="宋体" w:hint="eastAsia"/>
                <w:b/>
                <w:szCs w:val="21"/>
              </w:rPr>
              <w:t>或非</w:t>
            </w:r>
            <w:r>
              <w:rPr>
                <w:rFonts w:ascii="宋体" w:hAnsi="宋体" w:cs="宋体" w:hint="eastAsia"/>
                <w:b/>
                <w:szCs w:val="21"/>
              </w:rPr>
              <w:t>原件的</w:t>
            </w:r>
            <w:r w:rsidRPr="00C26BF1">
              <w:rPr>
                <w:rFonts w:ascii="宋体" w:hAnsi="宋体" w:cs="宋体" w:hint="eastAsia"/>
                <w:b/>
                <w:szCs w:val="21"/>
              </w:rPr>
              <w:t>作废标处理。</w:t>
            </w:r>
          </w:p>
        </w:tc>
        <w:tc>
          <w:tcPr>
            <w:tcW w:w="709" w:type="dxa"/>
            <w:vAlign w:val="center"/>
          </w:tcPr>
          <w:p w:rsidR="00A54B23" w:rsidRPr="00F95364" w:rsidRDefault="00C62C4C" w:rsidP="00D12B02">
            <w:pPr>
              <w:widowControl/>
              <w:jc w:val="center"/>
              <w:rPr>
                <w:rFonts w:ascii="宋体" w:hAnsi="宋体" w:cs="宋体"/>
                <w:b/>
                <w:bCs/>
                <w:kern w:val="0"/>
                <w:sz w:val="24"/>
              </w:rPr>
            </w:pPr>
            <w:r>
              <w:rPr>
                <w:rFonts w:ascii="宋体" w:hAnsi="宋体" w:cs="宋体" w:hint="eastAsia"/>
                <w:b/>
                <w:bCs/>
                <w:kern w:val="0"/>
                <w:sz w:val="24"/>
              </w:rPr>
              <w:t>20</w:t>
            </w:r>
          </w:p>
        </w:tc>
      </w:tr>
      <w:tr w:rsidR="00A54B23" w:rsidTr="00E76543">
        <w:tc>
          <w:tcPr>
            <w:tcW w:w="1276" w:type="dxa"/>
            <w:vMerge/>
            <w:vAlign w:val="center"/>
          </w:tcPr>
          <w:p w:rsidR="00A54B23" w:rsidRPr="00A54B23" w:rsidRDefault="00A54B23" w:rsidP="00A54B23">
            <w:pPr>
              <w:widowControl/>
              <w:jc w:val="center"/>
              <w:rPr>
                <w:rFonts w:ascii="宋体" w:hAnsi="宋体" w:cs="宋体"/>
                <w:b/>
                <w:bCs/>
                <w:kern w:val="0"/>
                <w:sz w:val="24"/>
              </w:rPr>
            </w:pPr>
          </w:p>
        </w:tc>
        <w:tc>
          <w:tcPr>
            <w:tcW w:w="1276" w:type="dxa"/>
            <w:vAlign w:val="center"/>
          </w:tcPr>
          <w:p w:rsidR="00A54B23" w:rsidRPr="00A54B23" w:rsidRDefault="00A54B23" w:rsidP="00F95364">
            <w:pPr>
              <w:widowControl/>
              <w:jc w:val="center"/>
              <w:rPr>
                <w:rFonts w:ascii="宋体" w:hAnsi="宋体" w:cs="宋体"/>
                <w:b/>
                <w:bCs/>
                <w:kern w:val="0"/>
                <w:sz w:val="24"/>
              </w:rPr>
            </w:pPr>
            <w:r w:rsidRPr="00A54B23">
              <w:rPr>
                <w:rFonts w:ascii="宋体" w:hAnsi="宋体" w:cs="宋体"/>
                <w:b/>
                <w:bCs/>
                <w:kern w:val="0"/>
                <w:sz w:val="24"/>
              </w:rPr>
              <w:t>技术参数</w:t>
            </w:r>
            <w:r w:rsidRPr="00A54B23">
              <w:rPr>
                <w:rFonts w:ascii="宋体" w:hAnsi="宋体" w:cs="宋体" w:hint="eastAsia"/>
                <w:b/>
                <w:bCs/>
                <w:kern w:val="0"/>
                <w:sz w:val="24"/>
              </w:rPr>
              <w:t>响应</w:t>
            </w:r>
          </w:p>
        </w:tc>
        <w:tc>
          <w:tcPr>
            <w:tcW w:w="5953" w:type="dxa"/>
          </w:tcPr>
          <w:p w:rsidR="00B82EE2" w:rsidRPr="00B82EE2" w:rsidRDefault="00B82EE2" w:rsidP="00B82EE2">
            <w:pPr>
              <w:jc w:val="left"/>
              <w:rPr>
                <w:rFonts w:ascii="宋体" w:hAnsi="宋体" w:cs="宋体"/>
                <w:szCs w:val="21"/>
              </w:rPr>
            </w:pPr>
            <w:r w:rsidRPr="00B82EE2">
              <w:rPr>
                <w:rFonts w:ascii="宋体" w:hAnsi="宋体" w:cs="宋体" w:hint="eastAsia"/>
                <w:szCs w:val="21"/>
              </w:rPr>
              <w:t>1.节能管理：①</w:t>
            </w:r>
            <w:proofErr w:type="gramStart"/>
            <w:r w:rsidRPr="00B82EE2">
              <w:rPr>
                <w:rFonts w:ascii="宋体" w:hAnsi="宋体" w:cs="宋体" w:hint="eastAsia"/>
                <w:szCs w:val="21"/>
              </w:rPr>
              <w:t>管理端可设定</w:t>
            </w:r>
            <w:proofErr w:type="gramEnd"/>
            <w:r w:rsidRPr="00B82EE2">
              <w:rPr>
                <w:rFonts w:ascii="宋体" w:hAnsi="宋体" w:cs="宋体" w:hint="eastAsia"/>
                <w:szCs w:val="21"/>
              </w:rPr>
              <w:t>客户端在多久时间</w:t>
            </w:r>
            <w:proofErr w:type="gramStart"/>
            <w:r w:rsidRPr="00B82EE2">
              <w:rPr>
                <w:rFonts w:ascii="宋体" w:hAnsi="宋体" w:cs="宋体" w:hint="eastAsia"/>
                <w:szCs w:val="21"/>
              </w:rPr>
              <w:t>没操作</w:t>
            </w:r>
            <w:proofErr w:type="gramEnd"/>
            <w:r w:rsidRPr="00B82EE2">
              <w:rPr>
                <w:rFonts w:ascii="宋体" w:hAnsi="宋体" w:cs="宋体" w:hint="eastAsia"/>
                <w:szCs w:val="21"/>
              </w:rPr>
              <w:t>后自动关闭显示器、自动进入待机状态、自动关机；②</w:t>
            </w:r>
            <w:proofErr w:type="gramStart"/>
            <w:r w:rsidRPr="00B82EE2">
              <w:rPr>
                <w:rFonts w:ascii="宋体" w:hAnsi="宋体" w:cs="宋体" w:hint="eastAsia"/>
                <w:szCs w:val="21"/>
              </w:rPr>
              <w:t>管理端可设定</w:t>
            </w:r>
            <w:proofErr w:type="gramEnd"/>
            <w:r w:rsidRPr="00B82EE2">
              <w:rPr>
                <w:rFonts w:ascii="宋体" w:hAnsi="宋体" w:cs="宋体" w:hint="eastAsia"/>
                <w:szCs w:val="21"/>
              </w:rPr>
              <w:t>允许客户端每天开机的时段、一周中哪几天开机等；③根据预先设定费率生成能源使用报告，精确掌握节省的电费。</w:t>
            </w:r>
            <w:r w:rsidRPr="00A46308">
              <w:rPr>
                <w:rFonts w:ascii="宋体" w:hAnsi="宋体" w:cs="宋体" w:hint="eastAsia"/>
                <w:b/>
                <w:szCs w:val="21"/>
              </w:rPr>
              <w:t>（提供产品功能截图，并加盖公章。得5分，不提供则不得分。）</w:t>
            </w:r>
          </w:p>
          <w:p w:rsidR="00B82EE2" w:rsidRPr="00A46308" w:rsidRDefault="00B82EE2" w:rsidP="00B82EE2">
            <w:pPr>
              <w:jc w:val="left"/>
              <w:rPr>
                <w:rFonts w:ascii="宋体" w:hAnsi="宋体" w:cs="宋体"/>
                <w:b/>
                <w:szCs w:val="21"/>
              </w:rPr>
            </w:pPr>
            <w:r w:rsidRPr="00B82EE2">
              <w:rPr>
                <w:rFonts w:ascii="宋体" w:hAnsi="宋体" w:cs="宋体" w:hint="eastAsia"/>
                <w:szCs w:val="21"/>
              </w:rPr>
              <w:t>2.文件同步：可以指定文件夹执行单向或双向同步，提供了自动同步参数设置和文件同步的策略，可以及时同步、周期同步、触发同步以及过滤同步。</w:t>
            </w:r>
            <w:r w:rsidRPr="00A46308">
              <w:rPr>
                <w:rFonts w:ascii="宋体" w:hAnsi="宋体" w:cs="宋体" w:hint="eastAsia"/>
                <w:b/>
                <w:szCs w:val="21"/>
              </w:rPr>
              <w:t>（提供产品功能截图，并加盖公章。得5分，不提供则不得分。）</w:t>
            </w:r>
          </w:p>
          <w:p w:rsidR="00B82EE2" w:rsidRPr="00B82EE2" w:rsidRDefault="00B82EE2" w:rsidP="00B82EE2">
            <w:pPr>
              <w:jc w:val="left"/>
              <w:rPr>
                <w:rFonts w:ascii="宋体" w:hAnsi="宋体" w:cs="宋体"/>
                <w:szCs w:val="21"/>
              </w:rPr>
            </w:pPr>
            <w:r w:rsidRPr="00B82EE2">
              <w:rPr>
                <w:rFonts w:ascii="宋体" w:hAnsi="宋体" w:cs="宋体" w:hint="eastAsia"/>
                <w:szCs w:val="21"/>
              </w:rPr>
              <w:t>3.剩余空间警戒：用户可随时自定义设定保护分区的剩余空间警戒值，当空间占用不足时，还原系统会自动绘制磁盘空间占用图案给用户，提示用户此台电脑空间占用明细。（提供产品功能截图，并加盖公章。得5分，不提供则不得分。）</w:t>
            </w:r>
          </w:p>
          <w:p w:rsidR="00B82EE2" w:rsidRPr="00B82EE2" w:rsidRDefault="00B82EE2" w:rsidP="00B82EE2">
            <w:pPr>
              <w:jc w:val="left"/>
              <w:rPr>
                <w:rFonts w:ascii="宋体" w:hAnsi="宋体" w:cs="宋体"/>
                <w:szCs w:val="21"/>
              </w:rPr>
            </w:pPr>
            <w:r w:rsidRPr="00B82EE2">
              <w:rPr>
                <w:rFonts w:ascii="宋体" w:hAnsi="宋体" w:cs="宋体" w:hint="eastAsia"/>
                <w:szCs w:val="21"/>
              </w:rPr>
              <w:lastRenderedPageBreak/>
              <w:t>4.远程计划任务：机房管理员可以设定远程开关机、还原\不还原、新建还原点以及远程Windows Update的工作排程，针对不同的计划任务提供了不同的参数设定策略。</w:t>
            </w:r>
            <w:r w:rsidRPr="00A46308">
              <w:rPr>
                <w:rFonts w:ascii="宋体" w:hAnsi="宋体" w:cs="宋体" w:hint="eastAsia"/>
                <w:b/>
                <w:szCs w:val="21"/>
              </w:rPr>
              <w:t>（提供产品功能截图，并加盖公章。得5分，不提供则不得分。）</w:t>
            </w:r>
          </w:p>
          <w:p w:rsidR="00B82EE2" w:rsidRPr="00B82EE2" w:rsidRDefault="00B82EE2" w:rsidP="00B82EE2">
            <w:pPr>
              <w:jc w:val="left"/>
              <w:rPr>
                <w:rFonts w:ascii="宋体" w:hAnsi="宋体" w:cs="宋体"/>
                <w:szCs w:val="21"/>
              </w:rPr>
            </w:pPr>
            <w:r w:rsidRPr="00B82EE2">
              <w:rPr>
                <w:rFonts w:ascii="宋体" w:hAnsi="宋体" w:cs="宋体" w:hint="eastAsia"/>
                <w:szCs w:val="21"/>
              </w:rPr>
              <w:t>5.防盗追踪：自动统计系统捆绑的设备总数和在线的设备数量，并能够在地图上查看设备的详细信息，帮助学校快速管理计算机设备。可以使用设备ID、设备名称或用户账号搜索指定或所有的计算机设备，在地图上快速定位设备当前所在位置；可以设置跟踪策略，通过地图查看计算机设备的移动轨迹，清晰地看到遗失设备在不同的时间段的位置变化，便于精确追踪设备。</w:t>
            </w:r>
            <w:r w:rsidRPr="00A46308">
              <w:rPr>
                <w:rFonts w:ascii="宋体" w:hAnsi="宋体" w:cs="宋体" w:hint="eastAsia"/>
                <w:b/>
                <w:szCs w:val="21"/>
              </w:rPr>
              <w:t>（提供产品功能截图，并加盖公章。得5分，不提供则不得分。）</w:t>
            </w:r>
          </w:p>
          <w:p w:rsidR="00A54B23" w:rsidRPr="00A54B23" w:rsidRDefault="00B82EE2" w:rsidP="00870022">
            <w:pPr>
              <w:jc w:val="left"/>
              <w:rPr>
                <w:rFonts w:ascii="宋体" w:hAnsi="宋体" w:cs="宋体"/>
                <w:szCs w:val="21"/>
              </w:rPr>
            </w:pPr>
            <w:r w:rsidRPr="00B82EE2">
              <w:rPr>
                <w:rFonts w:ascii="宋体" w:hAnsi="宋体" w:cs="宋体" w:hint="eastAsia"/>
                <w:szCs w:val="21"/>
              </w:rPr>
              <w:t>6.应用程序数据分析：教师自动统计客户端数量和使用过的应用程序数量，查看所有运行过的应用程序及其运行次数和时间；在图表中查看设备使用的总体情况、每日平均使用时间等详细信息；也可以根据学校需要统计指定时间段内最常用的10个应用程序，帮助学校快速掌握学生计算机的使用习惯，以及分析学习行为。在课后，管理员能够远程限制学生对应用程序的运行，对学生访问应用程序的权限进行个性化设置，帮助教师管理学生计算机应用程序的使用。</w:t>
            </w:r>
            <w:r w:rsidRPr="00A46308">
              <w:rPr>
                <w:rFonts w:ascii="宋体" w:hAnsi="宋体" w:cs="宋体" w:hint="eastAsia"/>
                <w:b/>
                <w:szCs w:val="21"/>
              </w:rPr>
              <w:t>（提供产品功能截图，并加盖公章。得5分，不提供则不得分。）</w:t>
            </w:r>
          </w:p>
        </w:tc>
        <w:tc>
          <w:tcPr>
            <w:tcW w:w="709" w:type="dxa"/>
            <w:vAlign w:val="center"/>
          </w:tcPr>
          <w:p w:rsidR="00A54B23" w:rsidRPr="00F95364" w:rsidRDefault="00C141B9" w:rsidP="00F95364">
            <w:pPr>
              <w:widowControl/>
              <w:jc w:val="center"/>
              <w:rPr>
                <w:rFonts w:ascii="宋体" w:hAnsi="宋体" w:cs="宋体"/>
                <w:b/>
                <w:bCs/>
                <w:kern w:val="0"/>
                <w:sz w:val="24"/>
              </w:rPr>
            </w:pPr>
            <w:r>
              <w:rPr>
                <w:rFonts w:ascii="宋体" w:hAnsi="宋体" w:cs="宋体" w:hint="eastAsia"/>
                <w:b/>
                <w:bCs/>
                <w:kern w:val="0"/>
                <w:sz w:val="24"/>
              </w:rPr>
              <w:lastRenderedPageBreak/>
              <w:t>30</w:t>
            </w:r>
          </w:p>
        </w:tc>
      </w:tr>
      <w:tr w:rsidR="00A54B23" w:rsidTr="00E76543">
        <w:tc>
          <w:tcPr>
            <w:tcW w:w="1276" w:type="dxa"/>
            <w:vMerge w:val="restart"/>
            <w:vAlign w:val="center"/>
          </w:tcPr>
          <w:p w:rsidR="00A54B23" w:rsidRPr="00A54B23" w:rsidRDefault="00A54B23" w:rsidP="00A54B23">
            <w:pPr>
              <w:widowControl/>
              <w:jc w:val="center"/>
              <w:rPr>
                <w:rFonts w:ascii="宋体" w:hAnsi="宋体" w:cs="宋体"/>
                <w:b/>
                <w:bCs/>
                <w:kern w:val="0"/>
                <w:sz w:val="24"/>
              </w:rPr>
            </w:pPr>
            <w:r w:rsidRPr="00A54B23">
              <w:rPr>
                <w:rFonts w:ascii="宋体" w:hAnsi="宋体" w:cs="宋体"/>
                <w:b/>
                <w:bCs/>
                <w:kern w:val="0"/>
                <w:sz w:val="24"/>
              </w:rPr>
              <w:lastRenderedPageBreak/>
              <w:t>商务分</w:t>
            </w:r>
          </w:p>
        </w:tc>
        <w:tc>
          <w:tcPr>
            <w:tcW w:w="1276" w:type="dxa"/>
            <w:vAlign w:val="center"/>
          </w:tcPr>
          <w:p w:rsidR="00A54B23" w:rsidRPr="00A54B23" w:rsidRDefault="00A54B23" w:rsidP="00F95364">
            <w:pPr>
              <w:widowControl/>
              <w:jc w:val="center"/>
              <w:rPr>
                <w:rFonts w:ascii="宋体" w:hAnsi="宋体" w:cs="宋体"/>
                <w:b/>
                <w:bCs/>
                <w:kern w:val="0"/>
                <w:sz w:val="24"/>
              </w:rPr>
            </w:pPr>
            <w:r w:rsidRPr="00A54B23">
              <w:rPr>
                <w:rFonts w:ascii="宋体" w:hAnsi="宋体" w:cs="宋体"/>
                <w:b/>
                <w:bCs/>
                <w:kern w:val="0"/>
                <w:sz w:val="24"/>
              </w:rPr>
              <w:t>项目实施方案</w:t>
            </w:r>
            <w:r w:rsidRPr="00A54B23">
              <w:rPr>
                <w:rFonts w:ascii="宋体" w:hAnsi="宋体" w:cs="宋体" w:hint="eastAsia"/>
                <w:b/>
                <w:bCs/>
                <w:kern w:val="0"/>
                <w:sz w:val="24"/>
              </w:rPr>
              <w:t>和</w:t>
            </w:r>
            <w:r w:rsidRPr="00A54B23">
              <w:rPr>
                <w:rFonts w:ascii="宋体" w:hAnsi="宋体" w:cs="宋体"/>
                <w:b/>
                <w:bCs/>
                <w:kern w:val="0"/>
                <w:sz w:val="24"/>
              </w:rPr>
              <w:t>验收方案</w:t>
            </w:r>
          </w:p>
        </w:tc>
        <w:tc>
          <w:tcPr>
            <w:tcW w:w="5953" w:type="dxa"/>
          </w:tcPr>
          <w:p w:rsidR="00D12B02" w:rsidRPr="00364C86" w:rsidRDefault="00D12B02" w:rsidP="00364C86">
            <w:pPr>
              <w:jc w:val="left"/>
              <w:rPr>
                <w:rFonts w:ascii="宋体" w:hAnsi="宋体" w:cs="宋体"/>
                <w:szCs w:val="21"/>
              </w:rPr>
            </w:pPr>
            <w:r w:rsidRPr="00364C86">
              <w:rPr>
                <w:rFonts w:ascii="宋体" w:hAnsi="宋体" w:cs="宋体" w:hint="eastAsia"/>
                <w:szCs w:val="21"/>
              </w:rPr>
              <w:t>具体由评委根据投标单位的项目人员组成、时间进度安排、施工方案和验收方案打分。</w:t>
            </w:r>
          </w:p>
          <w:p w:rsidR="00D12B02" w:rsidRPr="00364C86" w:rsidRDefault="00D12B02" w:rsidP="00364C86">
            <w:pPr>
              <w:jc w:val="left"/>
              <w:rPr>
                <w:rFonts w:ascii="宋体" w:hAnsi="宋体" w:cs="宋体"/>
                <w:szCs w:val="21"/>
              </w:rPr>
            </w:pPr>
            <w:r w:rsidRPr="00364C86">
              <w:rPr>
                <w:rFonts w:ascii="宋体" w:hAnsi="宋体" w:cs="宋体" w:hint="eastAsia"/>
                <w:szCs w:val="21"/>
              </w:rPr>
              <w:t>1</w:t>
            </w:r>
            <w:r w:rsidR="00364C86">
              <w:rPr>
                <w:rFonts w:ascii="宋体" w:hAnsi="宋体" w:cs="宋体" w:hint="eastAsia"/>
                <w:szCs w:val="21"/>
              </w:rPr>
              <w:t>.</w:t>
            </w:r>
            <w:r w:rsidRPr="00364C86">
              <w:rPr>
                <w:rFonts w:ascii="宋体" w:hAnsi="宋体" w:cs="宋体" w:hint="eastAsia"/>
                <w:szCs w:val="21"/>
              </w:rPr>
              <w:t>）实施方案（3分）。</w:t>
            </w:r>
          </w:p>
          <w:p w:rsidR="00D12B02" w:rsidRPr="00364C86" w:rsidRDefault="00D12B02" w:rsidP="00364C86">
            <w:pPr>
              <w:jc w:val="left"/>
              <w:rPr>
                <w:rFonts w:ascii="宋体" w:hAnsi="宋体" w:cs="宋体"/>
                <w:szCs w:val="21"/>
              </w:rPr>
            </w:pPr>
            <w:r w:rsidRPr="00364C86">
              <w:rPr>
                <w:rFonts w:ascii="宋体" w:hAnsi="宋体" w:cs="宋体" w:hint="eastAsia"/>
                <w:szCs w:val="21"/>
              </w:rPr>
              <w:t>包括运输、装卸、安装调试、人员安排、时间进度安排等。</w:t>
            </w:r>
          </w:p>
          <w:p w:rsidR="00A54B23" w:rsidRPr="00A54B23" w:rsidRDefault="00D12B02" w:rsidP="00364C86">
            <w:pPr>
              <w:jc w:val="left"/>
              <w:rPr>
                <w:rFonts w:ascii="宋体" w:hAnsi="宋体" w:cs="宋体"/>
                <w:szCs w:val="21"/>
              </w:rPr>
            </w:pPr>
            <w:r w:rsidRPr="00364C86">
              <w:rPr>
                <w:rFonts w:ascii="宋体" w:hAnsi="宋体" w:cs="宋体" w:hint="eastAsia"/>
                <w:szCs w:val="21"/>
              </w:rPr>
              <w:t>2</w:t>
            </w:r>
            <w:r w:rsidR="00364C86">
              <w:rPr>
                <w:rFonts w:ascii="宋体" w:hAnsi="宋体" w:cs="宋体" w:hint="eastAsia"/>
                <w:szCs w:val="21"/>
              </w:rPr>
              <w:t>.</w:t>
            </w:r>
            <w:r w:rsidRPr="00364C86">
              <w:rPr>
                <w:rFonts w:ascii="宋体" w:hAnsi="宋体" w:cs="宋体" w:hint="eastAsia"/>
                <w:szCs w:val="21"/>
              </w:rPr>
              <w:t>）验收方案（2分）。</w:t>
            </w:r>
          </w:p>
        </w:tc>
        <w:tc>
          <w:tcPr>
            <w:tcW w:w="709" w:type="dxa"/>
            <w:vAlign w:val="center"/>
          </w:tcPr>
          <w:p w:rsidR="00A54B23" w:rsidRPr="00F95364" w:rsidRDefault="00364C86" w:rsidP="00F95364">
            <w:pPr>
              <w:widowControl/>
              <w:jc w:val="center"/>
              <w:rPr>
                <w:rFonts w:ascii="宋体" w:hAnsi="宋体" w:cs="宋体"/>
                <w:b/>
                <w:bCs/>
                <w:kern w:val="0"/>
                <w:sz w:val="24"/>
              </w:rPr>
            </w:pPr>
            <w:r w:rsidRPr="00F95364">
              <w:rPr>
                <w:rFonts w:ascii="宋体" w:hAnsi="宋体" w:cs="宋体" w:hint="eastAsia"/>
                <w:b/>
                <w:bCs/>
                <w:kern w:val="0"/>
                <w:sz w:val="24"/>
              </w:rPr>
              <w:t>5</w:t>
            </w:r>
          </w:p>
        </w:tc>
      </w:tr>
      <w:tr w:rsidR="00A54B23" w:rsidTr="00E76543">
        <w:tc>
          <w:tcPr>
            <w:tcW w:w="1276" w:type="dxa"/>
            <w:vMerge/>
            <w:vAlign w:val="center"/>
          </w:tcPr>
          <w:p w:rsidR="00A54B23" w:rsidRDefault="00A54B23" w:rsidP="00A54B23">
            <w:pPr>
              <w:spacing w:line="360" w:lineRule="auto"/>
              <w:jc w:val="center"/>
              <w:rPr>
                <w:rFonts w:asciiTheme="minorEastAsia" w:hAnsiTheme="minorEastAsia"/>
                <w:szCs w:val="21"/>
              </w:rPr>
            </w:pPr>
          </w:p>
        </w:tc>
        <w:tc>
          <w:tcPr>
            <w:tcW w:w="1276" w:type="dxa"/>
            <w:vAlign w:val="center"/>
          </w:tcPr>
          <w:p w:rsidR="00A54B23" w:rsidRPr="00A54B23" w:rsidRDefault="00A54B23" w:rsidP="00F95364">
            <w:pPr>
              <w:widowControl/>
              <w:jc w:val="center"/>
              <w:rPr>
                <w:rFonts w:ascii="宋体" w:hAnsi="宋体" w:cs="宋体"/>
                <w:b/>
                <w:bCs/>
                <w:kern w:val="0"/>
                <w:sz w:val="24"/>
              </w:rPr>
            </w:pPr>
            <w:r w:rsidRPr="00A54B23">
              <w:rPr>
                <w:rFonts w:ascii="宋体" w:hAnsi="宋体" w:cs="宋体"/>
                <w:b/>
                <w:bCs/>
                <w:kern w:val="0"/>
                <w:sz w:val="24"/>
              </w:rPr>
              <w:t>售后服务承诺及培训方案情况</w:t>
            </w:r>
          </w:p>
        </w:tc>
        <w:tc>
          <w:tcPr>
            <w:tcW w:w="5953" w:type="dxa"/>
          </w:tcPr>
          <w:p w:rsidR="00D12B02" w:rsidRPr="00364C86" w:rsidRDefault="00D12B02" w:rsidP="00364C86">
            <w:pPr>
              <w:jc w:val="left"/>
              <w:rPr>
                <w:rFonts w:ascii="宋体" w:hAnsi="宋体" w:cs="宋体"/>
                <w:szCs w:val="21"/>
              </w:rPr>
            </w:pPr>
            <w:r w:rsidRPr="00364C86">
              <w:rPr>
                <w:rFonts w:ascii="宋体" w:hAnsi="宋体" w:cs="宋体" w:hint="eastAsia"/>
                <w:szCs w:val="21"/>
              </w:rPr>
              <w:t>1</w:t>
            </w:r>
            <w:r w:rsidR="00364C86">
              <w:rPr>
                <w:rFonts w:ascii="宋体" w:hAnsi="宋体" w:cs="宋体" w:hint="eastAsia"/>
                <w:szCs w:val="21"/>
              </w:rPr>
              <w:t>.</w:t>
            </w:r>
            <w:r w:rsidRPr="00364C86">
              <w:rPr>
                <w:rFonts w:ascii="宋体" w:hAnsi="宋体" w:cs="宋体" w:hint="eastAsia"/>
                <w:szCs w:val="21"/>
              </w:rPr>
              <w:t>)售后服务方案（2分）。</w:t>
            </w:r>
          </w:p>
          <w:p w:rsidR="00D12B02" w:rsidRPr="00364C86" w:rsidRDefault="00D12B02" w:rsidP="00364C86">
            <w:pPr>
              <w:jc w:val="left"/>
              <w:rPr>
                <w:rFonts w:ascii="宋体" w:hAnsi="宋体" w:cs="宋体"/>
                <w:szCs w:val="21"/>
              </w:rPr>
            </w:pPr>
            <w:r w:rsidRPr="00364C86">
              <w:rPr>
                <w:rFonts w:ascii="宋体" w:hAnsi="宋体" w:cs="宋体" w:hint="eastAsia"/>
                <w:szCs w:val="21"/>
              </w:rPr>
              <w:t>根据投标单位提供的售后服务方案（如服务体系、服务内容、故障解决方案、响应时间、专业技术人员保障及免费服务电话等）打分。</w:t>
            </w:r>
          </w:p>
          <w:p w:rsidR="00D12B02" w:rsidRPr="00364C86" w:rsidRDefault="00D12B02" w:rsidP="00364C86">
            <w:pPr>
              <w:jc w:val="left"/>
              <w:rPr>
                <w:rFonts w:ascii="宋体" w:hAnsi="宋体" w:cs="宋体"/>
                <w:szCs w:val="21"/>
              </w:rPr>
            </w:pPr>
            <w:r w:rsidRPr="00364C86">
              <w:rPr>
                <w:rFonts w:ascii="宋体" w:hAnsi="宋体" w:cs="宋体" w:hint="eastAsia"/>
                <w:szCs w:val="21"/>
              </w:rPr>
              <w:t>2</w:t>
            </w:r>
            <w:r w:rsidR="00364C86">
              <w:rPr>
                <w:rFonts w:ascii="宋体" w:hAnsi="宋体" w:cs="宋体" w:hint="eastAsia"/>
                <w:szCs w:val="21"/>
              </w:rPr>
              <w:t>.</w:t>
            </w:r>
            <w:r w:rsidRPr="00364C86">
              <w:rPr>
                <w:rFonts w:ascii="宋体" w:hAnsi="宋体" w:cs="宋体" w:hint="eastAsia"/>
                <w:szCs w:val="21"/>
              </w:rPr>
              <w:t>)培训方案（4分）。</w:t>
            </w:r>
          </w:p>
          <w:p w:rsidR="00D12B02" w:rsidRPr="00364C86" w:rsidRDefault="00D12B02" w:rsidP="00364C86">
            <w:pPr>
              <w:jc w:val="left"/>
              <w:rPr>
                <w:rFonts w:ascii="宋体" w:hAnsi="宋体" w:cs="宋体"/>
                <w:szCs w:val="21"/>
              </w:rPr>
            </w:pPr>
            <w:r w:rsidRPr="00364C86">
              <w:rPr>
                <w:rFonts w:ascii="宋体" w:hAnsi="宋体" w:cs="宋体" w:hint="eastAsia"/>
                <w:szCs w:val="21"/>
              </w:rPr>
              <w:t>根据投标人的培训方案打分。</w:t>
            </w:r>
          </w:p>
          <w:p w:rsidR="00D12B02" w:rsidRPr="00364C86" w:rsidRDefault="00D12B02" w:rsidP="00364C86">
            <w:pPr>
              <w:jc w:val="left"/>
              <w:rPr>
                <w:rFonts w:ascii="宋体" w:hAnsi="宋体" w:cs="宋体"/>
                <w:szCs w:val="21"/>
              </w:rPr>
            </w:pPr>
            <w:r w:rsidRPr="00364C86">
              <w:rPr>
                <w:rFonts w:ascii="宋体" w:hAnsi="宋体" w:cs="宋体" w:hint="eastAsia"/>
                <w:szCs w:val="21"/>
              </w:rPr>
              <w:t>3</w:t>
            </w:r>
            <w:r w:rsidR="00364C86">
              <w:rPr>
                <w:rFonts w:ascii="宋体" w:hAnsi="宋体" w:cs="宋体" w:hint="eastAsia"/>
                <w:szCs w:val="21"/>
              </w:rPr>
              <w:t>.</w:t>
            </w:r>
            <w:r w:rsidRPr="00364C86">
              <w:rPr>
                <w:rFonts w:ascii="宋体" w:hAnsi="宋体" w:cs="宋体" w:hint="eastAsia"/>
                <w:szCs w:val="21"/>
              </w:rPr>
              <w:t>)本地化服务（2分）。</w:t>
            </w:r>
          </w:p>
          <w:p w:rsidR="00D12B02" w:rsidRPr="00364C86" w:rsidRDefault="00D12B02" w:rsidP="00364C86">
            <w:pPr>
              <w:jc w:val="left"/>
              <w:rPr>
                <w:rFonts w:ascii="宋体" w:hAnsi="宋体" w:cs="宋体"/>
                <w:szCs w:val="21"/>
              </w:rPr>
            </w:pPr>
            <w:r w:rsidRPr="00364C86">
              <w:rPr>
                <w:rFonts w:ascii="宋体" w:hAnsi="宋体" w:cs="宋体" w:hint="eastAsia"/>
                <w:szCs w:val="21"/>
              </w:rPr>
              <w:t>投标人注册地及公司在</w:t>
            </w:r>
            <w:r w:rsidRPr="00364C86">
              <w:rPr>
                <w:rFonts w:ascii="宋体" w:hAnsi="宋体" w:cs="宋体" w:hint="eastAsia"/>
                <w:szCs w:val="21"/>
                <w:u w:val="single"/>
              </w:rPr>
              <w:t xml:space="preserve">  南京 </w:t>
            </w:r>
            <w:r w:rsidRPr="00364C86">
              <w:rPr>
                <w:rFonts w:ascii="宋体" w:hAnsi="宋体" w:cs="宋体" w:hint="eastAsia"/>
                <w:szCs w:val="21"/>
              </w:rPr>
              <w:t>得2分（须提供证明材料，没有不得分）。</w:t>
            </w:r>
          </w:p>
          <w:p w:rsidR="00D12B02" w:rsidRPr="00364C86" w:rsidRDefault="00D12B02" w:rsidP="00364C86">
            <w:pPr>
              <w:jc w:val="left"/>
              <w:rPr>
                <w:rFonts w:ascii="宋体" w:hAnsi="宋体" w:cs="宋体"/>
                <w:szCs w:val="21"/>
              </w:rPr>
            </w:pPr>
            <w:r w:rsidRPr="00364C86">
              <w:rPr>
                <w:rFonts w:ascii="宋体" w:hAnsi="宋体" w:cs="宋体" w:hint="eastAsia"/>
                <w:szCs w:val="21"/>
              </w:rPr>
              <w:t>4.)系统免费保修期（2分）。</w:t>
            </w:r>
          </w:p>
          <w:p w:rsidR="00A54B23" w:rsidRPr="00A54B23" w:rsidRDefault="00364C86" w:rsidP="00364C86">
            <w:pPr>
              <w:jc w:val="left"/>
              <w:rPr>
                <w:rFonts w:ascii="宋体" w:hAnsi="宋体" w:cs="宋体"/>
                <w:szCs w:val="21"/>
              </w:rPr>
            </w:pPr>
            <w:r w:rsidRPr="00364C86">
              <w:rPr>
                <w:rFonts w:ascii="宋体" w:hAnsi="宋体" w:cs="宋体" w:hint="eastAsia"/>
                <w:szCs w:val="21"/>
              </w:rPr>
              <w:t>软件</w:t>
            </w:r>
            <w:r w:rsidR="00D12B02" w:rsidRPr="00364C86">
              <w:rPr>
                <w:rFonts w:ascii="宋体" w:hAnsi="宋体" w:cs="宋体" w:hint="eastAsia"/>
                <w:szCs w:val="21"/>
              </w:rPr>
              <w:t>系统</w:t>
            </w:r>
            <w:r w:rsidRPr="00364C86">
              <w:rPr>
                <w:rFonts w:ascii="宋体" w:hAnsi="宋体" w:cs="宋体" w:hint="eastAsia"/>
                <w:szCs w:val="21"/>
              </w:rPr>
              <w:t>质保</w:t>
            </w:r>
            <w:r w:rsidR="00086506">
              <w:rPr>
                <w:rFonts w:ascii="宋体" w:hAnsi="宋体" w:cs="宋体" w:hint="eastAsia"/>
                <w:szCs w:val="21"/>
              </w:rPr>
              <w:t>期</w:t>
            </w:r>
            <w:r w:rsidRPr="00364C86">
              <w:rPr>
                <w:rFonts w:ascii="宋体" w:hAnsi="宋体" w:cs="宋体" w:hint="eastAsia"/>
                <w:szCs w:val="21"/>
              </w:rPr>
              <w:t>为</w:t>
            </w:r>
            <w:r w:rsidR="00D12B02" w:rsidRPr="00364C86">
              <w:rPr>
                <w:rFonts w:ascii="宋体" w:hAnsi="宋体" w:cs="宋体" w:hint="eastAsia"/>
                <w:szCs w:val="21"/>
              </w:rPr>
              <w:t>三年免费</w:t>
            </w:r>
            <w:r w:rsidR="00086506">
              <w:rPr>
                <w:rFonts w:ascii="宋体" w:hAnsi="宋体" w:cs="宋体" w:hint="eastAsia"/>
                <w:szCs w:val="21"/>
              </w:rPr>
              <w:t>升级维护</w:t>
            </w:r>
            <w:r w:rsidRPr="00364C86">
              <w:rPr>
                <w:rFonts w:ascii="宋体" w:hAnsi="宋体" w:cs="宋体" w:hint="eastAsia"/>
                <w:szCs w:val="21"/>
              </w:rPr>
              <w:t>，</w:t>
            </w:r>
            <w:r w:rsidR="00D12B02" w:rsidRPr="00364C86">
              <w:rPr>
                <w:rFonts w:ascii="宋体" w:hAnsi="宋体" w:cs="宋体" w:hint="eastAsia"/>
                <w:szCs w:val="21"/>
              </w:rPr>
              <w:t>得2分。</w:t>
            </w:r>
          </w:p>
        </w:tc>
        <w:tc>
          <w:tcPr>
            <w:tcW w:w="709" w:type="dxa"/>
            <w:vAlign w:val="center"/>
          </w:tcPr>
          <w:p w:rsidR="00A54B23" w:rsidRPr="00F95364" w:rsidRDefault="00364C86" w:rsidP="00F95364">
            <w:pPr>
              <w:widowControl/>
              <w:jc w:val="center"/>
              <w:rPr>
                <w:rFonts w:ascii="宋体" w:hAnsi="宋体" w:cs="宋体"/>
                <w:b/>
                <w:bCs/>
                <w:kern w:val="0"/>
                <w:sz w:val="24"/>
              </w:rPr>
            </w:pPr>
            <w:r w:rsidRPr="00F95364">
              <w:rPr>
                <w:rFonts w:ascii="宋体" w:hAnsi="宋体" w:cs="宋体" w:hint="eastAsia"/>
                <w:b/>
                <w:bCs/>
                <w:kern w:val="0"/>
                <w:sz w:val="24"/>
              </w:rPr>
              <w:t>10</w:t>
            </w:r>
          </w:p>
        </w:tc>
      </w:tr>
      <w:tr w:rsidR="00A54B23" w:rsidTr="00E76543">
        <w:tc>
          <w:tcPr>
            <w:tcW w:w="1276" w:type="dxa"/>
            <w:vMerge/>
            <w:vAlign w:val="center"/>
          </w:tcPr>
          <w:p w:rsidR="00A54B23" w:rsidRDefault="00A54B23" w:rsidP="00A54B23">
            <w:pPr>
              <w:spacing w:line="360" w:lineRule="auto"/>
              <w:jc w:val="center"/>
              <w:rPr>
                <w:rFonts w:asciiTheme="minorEastAsia" w:hAnsiTheme="minorEastAsia"/>
                <w:szCs w:val="21"/>
              </w:rPr>
            </w:pPr>
          </w:p>
        </w:tc>
        <w:tc>
          <w:tcPr>
            <w:tcW w:w="1276" w:type="dxa"/>
            <w:vAlign w:val="center"/>
          </w:tcPr>
          <w:p w:rsidR="00A54B23" w:rsidRPr="00A54B23" w:rsidRDefault="00A54B23" w:rsidP="00F95364">
            <w:pPr>
              <w:widowControl/>
              <w:jc w:val="center"/>
              <w:rPr>
                <w:rFonts w:ascii="宋体" w:hAnsi="宋体" w:cs="宋体"/>
                <w:b/>
                <w:bCs/>
                <w:kern w:val="0"/>
                <w:sz w:val="24"/>
              </w:rPr>
            </w:pPr>
            <w:r w:rsidRPr="00A54B23">
              <w:rPr>
                <w:rFonts w:ascii="宋体" w:hAnsi="宋体" w:cs="宋体"/>
                <w:b/>
                <w:bCs/>
                <w:kern w:val="0"/>
                <w:sz w:val="24"/>
              </w:rPr>
              <w:t>投标人业绩与财务情况</w:t>
            </w:r>
          </w:p>
        </w:tc>
        <w:tc>
          <w:tcPr>
            <w:tcW w:w="5953" w:type="dxa"/>
          </w:tcPr>
          <w:p w:rsidR="00F95364" w:rsidRPr="00F95364" w:rsidRDefault="00F95364" w:rsidP="00F95364">
            <w:pPr>
              <w:jc w:val="left"/>
              <w:rPr>
                <w:rFonts w:ascii="宋体" w:hAnsi="宋体" w:cs="宋体"/>
                <w:szCs w:val="21"/>
              </w:rPr>
            </w:pPr>
            <w:r>
              <w:rPr>
                <w:rFonts w:ascii="宋体" w:hAnsi="宋体" w:cs="宋体" w:hint="eastAsia"/>
                <w:szCs w:val="21"/>
              </w:rPr>
              <w:t>1.）</w:t>
            </w:r>
            <w:r w:rsidRPr="00F95364">
              <w:rPr>
                <w:rFonts w:ascii="宋体" w:hAnsi="宋体" w:cs="宋体" w:hint="eastAsia"/>
                <w:szCs w:val="21"/>
              </w:rPr>
              <w:t>投标人业绩（3分）</w:t>
            </w:r>
          </w:p>
          <w:p w:rsidR="00F95364" w:rsidRPr="00F95364" w:rsidRDefault="00F95364" w:rsidP="00F95364">
            <w:pPr>
              <w:jc w:val="left"/>
              <w:rPr>
                <w:rFonts w:ascii="宋体" w:hAnsi="宋体" w:cs="宋体"/>
                <w:szCs w:val="21"/>
              </w:rPr>
            </w:pPr>
            <w:r w:rsidRPr="00F95364">
              <w:rPr>
                <w:rFonts w:ascii="宋体" w:hAnsi="宋体" w:cs="宋体" w:hint="eastAsia"/>
                <w:szCs w:val="21"/>
              </w:rPr>
              <w:t>投标人与采购单位有过类似项目合作</w:t>
            </w:r>
            <w:r>
              <w:rPr>
                <w:rFonts w:ascii="宋体" w:hAnsi="宋体" w:cs="宋体" w:hint="eastAsia"/>
                <w:szCs w:val="21"/>
              </w:rPr>
              <w:t>得3分</w:t>
            </w:r>
            <w:r w:rsidRPr="00F95364">
              <w:rPr>
                <w:rFonts w:ascii="宋体" w:hAnsi="宋体" w:cs="宋体" w:hint="eastAsia"/>
                <w:szCs w:val="21"/>
              </w:rPr>
              <w:t>，提供合同复印件加盖公章。</w:t>
            </w:r>
          </w:p>
          <w:p w:rsidR="00F95364" w:rsidRPr="00F95364" w:rsidRDefault="00F95364" w:rsidP="00F95364">
            <w:pPr>
              <w:jc w:val="left"/>
              <w:rPr>
                <w:rFonts w:ascii="宋体" w:hAnsi="宋体" w:cs="宋体"/>
                <w:szCs w:val="21"/>
              </w:rPr>
            </w:pPr>
            <w:r w:rsidRPr="00F95364">
              <w:rPr>
                <w:rFonts w:ascii="宋体" w:hAnsi="宋体" w:cs="宋体" w:hint="eastAsia"/>
                <w:szCs w:val="21"/>
              </w:rPr>
              <w:t>2.)投标人财务状况（2分）。</w:t>
            </w:r>
          </w:p>
          <w:p w:rsidR="00A54B23" w:rsidRPr="00F95364" w:rsidRDefault="00F95364" w:rsidP="00F95364">
            <w:pPr>
              <w:jc w:val="left"/>
              <w:rPr>
                <w:rFonts w:asciiTheme="minorEastAsia" w:hAnsiTheme="minorEastAsia"/>
                <w:sz w:val="24"/>
              </w:rPr>
            </w:pPr>
            <w:r w:rsidRPr="00F95364">
              <w:rPr>
                <w:rFonts w:ascii="宋体" w:hAnsi="宋体" w:cs="宋体" w:hint="eastAsia"/>
                <w:szCs w:val="21"/>
              </w:rPr>
              <w:t>提供近</w:t>
            </w:r>
            <w:proofErr w:type="gramStart"/>
            <w:r w:rsidRPr="00F95364">
              <w:rPr>
                <w:rFonts w:ascii="宋体" w:hAnsi="宋体" w:cs="宋体" w:hint="eastAsia"/>
                <w:szCs w:val="21"/>
              </w:rPr>
              <w:t>2</w:t>
            </w:r>
            <w:proofErr w:type="gramEnd"/>
            <w:r w:rsidRPr="00F95364">
              <w:rPr>
                <w:rFonts w:ascii="宋体" w:hAnsi="宋体" w:cs="宋体" w:hint="eastAsia"/>
                <w:szCs w:val="21"/>
              </w:rPr>
              <w:t>年度经法定中介机构审计过的财务报告得2分，未提供或未经审计，不得分。</w:t>
            </w:r>
          </w:p>
        </w:tc>
        <w:tc>
          <w:tcPr>
            <w:tcW w:w="709" w:type="dxa"/>
            <w:vAlign w:val="center"/>
          </w:tcPr>
          <w:p w:rsidR="00A54B23" w:rsidRPr="00F95364" w:rsidRDefault="00F95364" w:rsidP="00F95364">
            <w:pPr>
              <w:widowControl/>
              <w:jc w:val="center"/>
              <w:rPr>
                <w:rFonts w:ascii="宋体" w:hAnsi="宋体" w:cs="宋体"/>
                <w:b/>
                <w:bCs/>
                <w:kern w:val="0"/>
                <w:sz w:val="24"/>
              </w:rPr>
            </w:pPr>
            <w:r w:rsidRPr="00F95364">
              <w:rPr>
                <w:rFonts w:ascii="宋体" w:hAnsi="宋体" w:cs="宋体" w:hint="eastAsia"/>
                <w:b/>
                <w:bCs/>
                <w:kern w:val="0"/>
                <w:sz w:val="24"/>
              </w:rPr>
              <w:t>5</w:t>
            </w:r>
          </w:p>
        </w:tc>
      </w:tr>
    </w:tbl>
    <w:p w:rsidR="00A54B23" w:rsidRPr="00AD5E80" w:rsidRDefault="00A54B23" w:rsidP="008B29AC">
      <w:pPr>
        <w:spacing w:line="360" w:lineRule="auto"/>
        <w:jc w:val="left"/>
        <w:rPr>
          <w:rFonts w:asciiTheme="minorEastAsia" w:hAnsiTheme="minorEastAsia"/>
          <w:szCs w:val="21"/>
        </w:rPr>
      </w:pPr>
    </w:p>
    <w:sectPr w:rsidR="00A54B23" w:rsidRPr="00AD5E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CF6" w:rsidRDefault="00C45CF6" w:rsidP="00B84CA5">
      <w:r>
        <w:separator/>
      </w:r>
    </w:p>
  </w:endnote>
  <w:endnote w:type="continuationSeparator" w:id="0">
    <w:p w:rsidR="00C45CF6" w:rsidRDefault="00C45CF6" w:rsidP="00B8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CF6" w:rsidRDefault="00C45CF6" w:rsidP="00B84CA5">
      <w:r>
        <w:separator/>
      </w:r>
    </w:p>
  </w:footnote>
  <w:footnote w:type="continuationSeparator" w:id="0">
    <w:p w:rsidR="00C45CF6" w:rsidRDefault="00C45CF6" w:rsidP="00B84C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425C4"/>
    <w:multiLevelType w:val="hybridMultilevel"/>
    <w:tmpl w:val="E5BAC64E"/>
    <w:lvl w:ilvl="0" w:tplc="EFDA3F7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5F43CA6"/>
    <w:multiLevelType w:val="hybridMultilevel"/>
    <w:tmpl w:val="1C72AE6C"/>
    <w:lvl w:ilvl="0" w:tplc="2EE0D0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0274956"/>
    <w:multiLevelType w:val="hybridMultilevel"/>
    <w:tmpl w:val="CF269B88"/>
    <w:lvl w:ilvl="0" w:tplc="D43A2D06">
      <w:start w:val="9"/>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2E534FE"/>
    <w:multiLevelType w:val="hybridMultilevel"/>
    <w:tmpl w:val="F9642408"/>
    <w:lvl w:ilvl="0" w:tplc="70B2C6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52162F8"/>
    <w:multiLevelType w:val="hybridMultilevel"/>
    <w:tmpl w:val="6702104C"/>
    <w:lvl w:ilvl="0" w:tplc="EE98F1C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EE6"/>
    <w:rsid w:val="000008B2"/>
    <w:rsid w:val="00003828"/>
    <w:rsid w:val="00004576"/>
    <w:rsid w:val="00023DE8"/>
    <w:rsid w:val="00036002"/>
    <w:rsid w:val="00044D38"/>
    <w:rsid w:val="000539C5"/>
    <w:rsid w:val="00054E21"/>
    <w:rsid w:val="000626CC"/>
    <w:rsid w:val="00074430"/>
    <w:rsid w:val="00074676"/>
    <w:rsid w:val="00084D5E"/>
    <w:rsid w:val="00086506"/>
    <w:rsid w:val="0009263C"/>
    <w:rsid w:val="000A2D54"/>
    <w:rsid w:val="000B0C7B"/>
    <w:rsid w:val="000B5743"/>
    <w:rsid w:val="000C4C4D"/>
    <w:rsid w:val="000D0E47"/>
    <w:rsid w:val="000E0703"/>
    <w:rsid w:val="00101146"/>
    <w:rsid w:val="00101CDD"/>
    <w:rsid w:val="0010221C"/>
    <w:rsid w:val="001162A0"/>
    <w:rsid w:val="00120643"/>
    <w:rsid w:val="00124D9C"/>
    <w:rsid w:val="001268E9"/>
    <w:rsid w:val="00131F9C"/>
    <w:rsid w:val="00134773"/>
    <w:rsid w:val="001405D1"/>
    <w:rsid w:val="0014632B"/>
    <w:rsid w:val="00147423"/>
    <w:rsid w:val="00150F0E"/>
    <w:rsid w:val="00157F0D"/>
    <w:rsid w:val="00160FB4"/>
    <w:rsid w:val="00167DAC"/>
    <w:rsid w:val="00173BE3"/>
    <w:rsid w:val="00180F8D"/>
    <w:rsid w:val="001A583F"/>
    <w:rsid w:val="001A6D7A"/>
    <w:rsid w:val="001B030A"/>
    <w:rsid w:val="001B0856"/>
    <w:rsid w:val="001B75DA"/>
    <w:rsid w:val="001C3C2A"/>
    <w:rsid w:val="001C3EA6"/>
    <w:rsid w:val="001C4DD3"/>
    <w:rsid w:val="001E0255"/>
    <w:rsid w:val="001F6E8A"/>
    <w:rsid w:val="00203783"/>
    <w:rsid w:val="00211C7A"/>
    <w:rsid w:val="002276E2"/>
    <w:rsid w:val="00240FD0"/>
    <w:rsid w:val="00243F31"/>
    <w:rsid w:val="00251061"/>
    <w:rsid w:val="002660C6"/>
    <w:rsid w:val="00270CA0"/>
    <w:rsid w:val="00272414"/>
    <w:rsid w:val="002747CD"/>
    <w:rsid w:val="002875C1"/>
    <w:rsid w:val="002A7AB2"/>
    <w:rsid w:val="002B1781"/>
    <w:rsid w:val="002D0BB9"/>
    <w:rsid w:val="002D1781"/>
    <w:rsid w:val="002D600C"/>
    <w:rsid w:val="002F1F76"/>
    <w:rsid w:val="00304018"/>
    <w:rsid w:val="00305E4D"/>
    <w:rsid w:val="00312A33"/>
    <w:rsid w:val="00321DAD"/>
    <w:rsid w:val="003229F0"/>
    <w:rsid w:val="00330FBD"/>
    <w:rsid w:val="003337C4"/>
    <w:rsid w:val="00341500"/>
    <w:rsid w:val="00354E5F"/>
    <w:rsid w:val="00364C86"/>
    <w:rsid w:val="00370753"/>
    <w:rsid w:val="00382C76"/>
    <w:rsid w:val="00384352"/>
    <w:rsid w:val="0038637B"/>
    <w:rsid w:val="00390199"/>
    <w:rsid w:val="003A1632"/>
    <w:rsid w:val="003D260E"/>
    <w:rsid w:val="003D3CC4"/>
    <w:rsid w:val="003D5E34"/>
    <w:rsid w:val="003E0C08"/>
    <w:rsid w:val="003E29F8"/>
    <w:rsid w:val="003F1B3D"/>
    <w:rsid w:val="004025E7"/>
    <w:rsid w:val="00403834"/>
    <w:rsid w:val="00404F42"/>
    <w:rsid w:val="00405995"/>
    <w:rsid w:val="00407BFB"/>
    <w:rsid w:val="004437BB"/>
    <w:rsid w:val="004473F7"/>
    <w:rsid w:val="00455BE3"/>
    <w:rsid w:val="00466044"/>
    <w:rsid w:val="00480670"/>
    <w:rsid w:val="00481815"/>
    <w:rsid w:val="004963BB"/>
    <w:rsid w:val="004B3C85"/>
    <w:rsid w:val="004B47DC"/>
    <w:rsid w:val="004C03C3"/>
    <w:rsid w:val="004C7EBF"/>
    <w:rsid w:val="004E00A8"/>
    <w:rsid w:val="004F4191"/>
    <w:rsid w:val="00516015"/>
    <w:rsid w:val="005166A6"/>
    <w:rsid w:val="00534D23"/>
    <w:rsid w:val="00542B20"/>
    <w:rsid w:val="005433C0"/>
    <w:rsid w:val="005467FD"/>
    <w:rsid w:val="0055276D"/>
    <w:rsid w:val="00564BCB"/>
    <w:rsid w:val="00567366"/>
    <w:rsid w:val="005751F7"/>
    <w:rsid w:val="00581731"/>
    <w:rsid w:val="00581CD1"/>
    <w:rsid w:val="005837D7"/>
    <w:rsid w:val="00587416"/>
    <w:rsid w:val="00591DB7"/>
    <w:rsid w:val="005B2D09"/>
    <w:rsid w:val="005B59B7"/>
    <w:rsid w:val="005D17F6"/>
    <w:rsid w:val="005D305C"/>
    <w:rsid w:val="005D54CA"/>
    <w:rsid w:val="005E18E1"/>
    <w:rsid w:val="005F2B2A"/>
    <w:rsid w:val="005F4000"/>
    <w:rsid w:val="005F4CF3"/>
    <w:rsid w:val="005F7D70"/>
    <w:rsid w:val="00606D99"/>
    <w:rsid w:val="00613EC9"/>
    <w:rsid w:val="00630021"/>
    <w:rsid w:val="00630659"/>
    <w:rsid w:val="00643FD4"/>
    <w:rsid w:val="00652CC4"/>
    <w:rsid w:val="00665EEE"/>
    <w:rsid w:val="00681B36"/>
    <w:rsid w:val="006836AA"/>
    <w:rsid w:val="006910C2"/>
    <w:rsid w:val="006A3687"/>
    <w:rsid w:val="006A5601"/>
    <w:rsid w:val="006B017D"/>
    <w:rsid w:val="006B3497"/>
    <w:rsid w:val="006B6F15"/>
    <w:rsid w:val="006C5A3A"/>
    <w:rsid w:val="006E1481"/>
    <w:rsid w:val="006E77E3"/>
    <w:rsid w:val="006F2302"/>
    <w:rsid w:val="00713082"/>
    <w:rsid w:val="00714A80"/>
    <w:rsid w:val="00721BBB"/>
    <w:rsid w:val="007277A9"/>
    <w:rsid w:val="00727925"/>
    <w:rsid w:val="00734912"/>
    <w:rsid w:val="00740B0B"/>
    <w:rsid w:val="00744F79"/>
    <w:rsid w:val="00776418"/>
    <w:rsid w:val="00781043"/>
    <w:rsid w:val="007814BA"/>
    <w:rsid w:val="00782C54"/>
    <w:rsid w:val="0078477D"/>
    <w:rsid w:val="007A2C84"/>
    <w:rsid w:val="007C1352"/>
    <w:rsid w:val="007C2608"/>
    <w:rsid w:val="007C744C"/>
    <w:rsid w:val="007D0BEC"/>
    <w:rsid w:val="007D51DD"/>
    <w:rsid w:val="007E7DA3"/>
    <w:rsid w:val="007F202E"/>
    <w:rsid w:val="007F4622"/>
    <w:rsid w:val="007F5258"/>
    <w:rsid w:val="008063F8"/>
    <w:rsid w:val="00824899"/>
    <w:rsid w:val="00834E85"/>
    <w:rsid w:val="00835C7F"/>
    <w:rsid w:val="00836179"/>
    <w:rsid w:val="00836A04"/>
    <w:rsid w:val="0084048E"/>
    <w:rsid w:val="00852C89"/>
    <w:rsid w:val="00853748"/>
    <w:rsid w:val="00855348"/>
    <w:rsid w:val="00855DEA"/>
    <w:rsid w:val="008565D8"/>
    <w:rsid w:val="00865C8E"/>
    <w:rsid w:val="00870022"/>
    <w:rsid w:val="008703B2"/>
    <w:rsid w:val="00873039"/>
    <w:rsid w:val="00876ADB"/>
    <w:rsid w:val="00890E50"/>
    <w:rsid w:val="00894672"/>
    <w:rsid w:val="008A29B4"/>
    <w:rsid w:val="008B29AC"/>
    <w:rsid w:val="008C20A5"/>
    <w:rsid w:val="008C4DDC"/>
    <w:rsid w:val="008D5C39"/>
    <w:rsid w:val="008E45E4"/>
    <w:rsid w:val="008F2FDB"/>
    <w:rsid w:val="008F6EFC"/>
    <w:rsid w:val="00902023"/>
    <w:rsid w:val="0090224A"/>
    <w:rsid w:val="00912486"/>
    <w:rsid w:val="00924761"/>
    <w:rsid w:val="00933954"/>
    <w:rsid w:val="00936F24"/>
    <w:rsid w:val="00940C0D"/>
    <w:rsid w:val="00941B8C"/>
    <w:rsid w:val="00954D3C"/>
    <w:rsid w:val="00956874"/>
    <w:rsid w:val="00956F32"/>
    <w:rsid w:val="00967A99"/>
    <w:rsid w:val="0099142C"/>
    <w:rsid w:val="0099329F"/>
    <w:rsid w:val="009A066D"/>
    <w:rsid w:val="009A7BA6"/>
    <w:rsid w:val="009B3416"/>
    <w:rsid w:val="009B68C5"/>
    <w:rsid w:val="009C3CC0"/>
    <w:rsid w:val="009D3726"/>
    <w:rsid w:val="00A20076"/>
    <w:rsid w:val="00A217FE"/>
    <w:rsid w:val="00A23BFF"/>
    <w:rsid w:val="00A26785"/>
    <w:rsid w:val="00A3061A"/>
    <w:rsid w:val="00A357D9"/>
    <w:rsid w:val="00A4126F"/>
    <w:rsid w:val="00A46308"/>
    <w:rsid w:val="00A47004"/>
    <w:rsid w:val="00A515AD"/>
    <w:rsid w:val="00A54B23"/>
    <w:rsid w:val="00A55B1F"/>
    <w:rsid w:val="00A709E2"/>
    <w:rsid w:val="00A92D16"/>
    <w:rsid w:val="00A970D9"/>
    <w:rsid w:val="00AA77DA"/>
    <w:rsid w:val="00AB4C00"/>
    <w:rsid w:val="00AB6656"/>
    <w:rsid w:val="00AC011E"/>
    <w:rsid w:val="00AC074D"/>
    <w:rsid w:val="00AD0674"/>
    <w:rsid w:val="00AD10FE"/>
    <w:rsid w:val="00AD3296"/>
    <w:rsid w:val="00AD343F"/>
    <w:rsid w:val="00AD5649"/>
    <w:rsid w:val="00AD5E80"/>
    <w:rsid w:val="00AE4EE6"/>
    <w:rsid w:val="00AF0410"/>
    <w:rsid w:val="00B0134D"/>
    <w:rsid w:val="00B02442"/>
    <w:rsid w:val="00B10728"/>
    <w:rsid w:val="00B246B5"/>
    <w:rsid w:val="00B5465E"/>
    <w:rsid w:val="00B54B57"/>
    <w:rsid w:val="00B70593"/>
    <w:rsid w:val="00B72644"/>
    <w:rsid w:val="00B73B02"/>
    <w:rsid w:val="00B77416"/>
    <w:rsid w:val="00B82EE2"/>
    <w:rsid w:val="00B8421D"/>
    <w:rsid w:val="00B84CA5"/>
    <w:rsid w:val="00BA5C31"/>
    <w:rsid w:val="00BB617E"/>
    <w:rsid w:val="00BC29C4"/>
    <w:rsid w:val="00BC47C0"/>
    <w:rsid w:val="00BC5C9D"/>
    <w:rsid w:val="00BD051C"/>
    <w:rsid w:val="00BD6B65"/>
    <w:rsid w:val="00BE6019"/>
    <w:rsid w:val="00BF4F12"/>
    <w:rsid w:val="00C11F05"/>
    <w:rsid w:val="00C1362F"/>
    <w:rsid w:val="00C141B9"/>
    <w:rsid w:val="00C26BF1"/>
    <w:rsid w:val="00C43723"/>
    <w:rsid w:val="00C45CF6"/>
    <w:rsid w:val="00C5355A"/>
    <w:rsid w:val="00C62C4C"/>
    <w:rsid w:val="00C6425D"/>
    <w:rsid w:val="00C6458B"/>
    <w:rsid w:val="00C707D2"/>
    <w:rsid w:val="00C7110C"/>
    <w:rsid w:val="00C81831"/>
    <w:rsid w:val="00C82CB1"/>
    <w:rsid w:val="00CC2642"/>
    <w:rsid w:val="00CC536C"/>
    <w:rsid w:val="00CD6A78"/>
    <w:rsid w:val="00CE57AB"/>
    <w:rsid w:val="00CF0957"/>
    <w:rsid w:val="00CF692B"/>
    <w:rsid w:val="00CF7A05"/>
    <w:rsid w:val="00D02F0A"/>
    <w:rsid w:val="00D07D30"/>
    <w:rsid w:val="00D126D1"/>
    <w:rsid w:val="00D12B02"/>
    <w:rsid w:val="00D15037"/>
    <w:rsid w:val="00D15FC8"/>
    <w:rsid w:val="00D163CD"/>
    <w:rsid w:val="00D2201E"/>
    <w:rsid w:val="00D3067C"/>
    <w:rsid w:val="00D43A24"/>
    <w:rsid w:val="00D77EA4"/>
    <w:rsid w:val="00D908AA"/>
    <w:rsid w:val="00DB5618"/>
    <w:rsid w:val="00DC476C"/>
    <w:rsid w:val="00DF030C"/>
    <w:rsid w:val="00DF3546"/>
    <w:rsid w:val="00DF40AB"/>
    <w:rsid w:val="00DF4EBD"/>
    <w:rsid w:val="00E166AB"/>
    <w:rsid w:val="00E17829"/>
    <w:rsid w:val="00E22D61"/>
    <w:rsid w:val="00E30F8F"/>
    <w:rsid w:val="00E34A11"/>
    <w:rsid w:val="00E404CB"/>
    <w:rsid w:val="00E42FE8"/>
    <w:rsid w:val="00E54DB6"/>
    <w:rsid w:val="00E60635"/>
    <w:rsid w:val="00E719BB"/>
    <w:rsid w:val="00E76543"/>
    <w:rsid w:val="00E804B4"/>
    <w:rsid w:val="00E85862"/>
    <w:rsid w:val="00E871A2"/>
    <w:rsid w:val="00EA6D84"/>
    <w:rsid w:val="00ED33B9"/>
    <w:rsid w:val="00ED40E0"/>
    <w:rsid w:val="00ED7B37"/>
    <w:rsid w:val="00EF1C3A"/>
    <w:rsid w:val="00EF3843"/>
    <w:rsid w:val="00EF7ECB"/>
    <w:rsid w:val="00F04739"/>
    <w:rsid w:val="00F21AE3"/>
    <w:rsid w:val="00F41B46"/>
    <w:rsid w:val="00F7260F"/>
    <w:rsid w:val="00F95364"/>
    <w:rsid w:val="00F9675F"/>
    <w:rsid w:val="00FA3798"/>
    <w:rsid w:val="00FA49C8"/>
    <w:rsid w:val="00FA512F"/>
    <w:rsid w:val="00FA69CC"/>
    <w:rsid w:val="00FA6ABF"/>
    <w:rsid w:val="00FC208C"/>
    <w:rsid w:val="00FC4D3E"/>
    <w:rsid w:val="00FD1642"/>
    <w:rsid w:val="00FD767C"/>
    <w:rsid w:val="00FE0C6B"/>
    <w:rsid w:val="00FF4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C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4CA5"/>
    <w:rPr>
      <w:sz w:val="18"/>
      <w:szCs w:val="18"/>
    </w:rPr>
  </w:style>
  <w:style w:type="paragraph" w:styleId="a4">
    <w:name w:val="footer"/>
    <w:basedOn w:val="a"/>
    <w:link w:val="Char0"/>
    <w:uiPriority w:val="99"/>
    <w:unhideWhenUsed/>
    <w:rsid w:val="00B84CA5"/>
    <w:pPr>
      <w:tabs>
        <w:tab w:val="center" w:pos="4153"/>
        <w:tab w:val="right" w:pos="8306"/>
      </w:tabs>
      <w:snapToGrid w:val="0"/>
      <w:jc w:val="left"/>
    </w:pPr>
    <w:rPr>
      <w:sz w:val="18"/>
      <w:szCs w:val="18"/>
    </w:rPr>
  </w:style>
  <w:style w:type="character" w:customStyle="1" w:styleId="Char0">
    <w:name w:val="页脚 Char"/>
    <w:basedOn w:val="a0"/>
    <w:link w:val="a4"/>
    <w:uiPriority w:val="99"/>
    <w:rsid w:val="00B84CA5"/>
    <w:rPr>
      <w:sz w:val="18"/>
      <w:szCs w:val="18"/>
    </w:rPr>
  </w:style>
  <w:style w:type="paragraph" w:styleId="a5">
    <w:name w:val="List Paragraph"/>
    <w:basedOn w:val="a"/>
    <w:uiPriority w:val="34"/>
    <w:qFormat/>
    <w:rsid w:val="00B84CA5"/>
    <w:pPr>
      <w:ind w:firstLineChars="200" w:firstLine="420"/>
    </w:pPr>
  </w:style>
  <w:style w:type="table" w:styleId="a6">
    <w:name w:val="Table Grid"/>
    <w:basedOn w:val="a1"/>
    <w:uiPriority w:val="59"/>
    <w:rsid w:val="00A5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4C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84CA5"/>
    <w:rPr>
      <w:sz w:val="18"/>
      <w:szCs w:val="18"/>
    </w:rPr>
  </w:style>
  <w:style w:type="paragraph" w:styleId="a4">
    <w:name w:val="footer"/>
    <w:basedOn w:val="a"/>
    <w:link w:val="Char0"/>
    <w:uiPriority w:val="99"/>
    <w:unhideWhenUsed/>
    <w:rsid w:val="00B84CA5"/>
    <w:pPr>
      <w:tabs>
        <w:tab w:val="center" w:pos="4153"/>
        <w:tab w:val="right" w:pos="8306"/>
      </w:tabs>
      <w:snapToGrid w:val="0"/>
      <w:jc w:val="left"/>
    </w:pPr>
    <w:rPr>
      <w:sz w:val="18"/>
      <w:szCs w:val="18"/>
    </w:rPr>
  </w:style>
  <w:style w:type="character" w:customStyle="1" w:styleId="Char0">
    <w:name w:val="页脚 Char"/>
    <w:basedOn w:val="a0"/>
    <w:link w:val="a4"/>
    <w:uiPriority w:val="99"/>
    <w:rsid w:val="00B84CA5"/>
    <w:rPr>
      <w:sz w:val="18"/>
      <w:szCs w:val="18"/>
    </w:rPr>
  </w:style>
  <w:style w:type="paragraph" w:styleId="a5">
    <w:name w:val="List Paragraph"/>
    <w:basedOn w:val="a"/>
    <w:uiPriority w:val="34"/>
    <w:qFormat/>
    <w:rsid w:val="00B84CA5"/>
    <w:pPr>
      <w:ind w:firstLineChars="200" w:firstLine="420"/>
    </w:pPr>
  </w:style>
  <w:style w:type="table" w:styleId="a6">
    <w:name w:val="Table Grid"/>
    <w:basedOn w:val="a1"/>
    <w:uiPriority w:val="59"/>
    <w:rsid w:val="00A5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4</Pages>
  <Words>621</Words>
  <Characters>3540</Characters>
  <Application>Microsoft Office Word</Application>
  <DocSecurity>0</DocSecurity>
  <Lines>29</Lines>
  <Paragraphs>8</Paragraphs>
  <ScaleCrop>false</ScaleCrop>
  <Company/>
  <LinksUpToDate>false</LinksUpToDate>
  <CharactersWithSpaces>4153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Administrator</cp:lastModifiedBy>
  <cp:revision>270</cp:revision>
  <dcterms:created xsi:type="dcterms:W3CDTF">2016-01-22T02:56:00Z</dcterms:created>
  <dcterms:modified xsi:type="dcterms:W3CDTF">2016-09-21T02:12:00Z</dcterms:modified>
</cp:coreProperties>
</file>